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3F84" w:rsidRDefault="00D33F84" w:rsidP="00E268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E268A3" w:rsidRDefault="00E268A3" w:rsidP="00E268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68A3" w:rsidRDefault="00E268A3" w:rsidP="00E268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68A3" w:rsidRDefault="00E268A3" w:rsidP="00E268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68A3" w:rsidRDefault="00E268A3" w:rsidP="00E268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68A3" w:rsidRDefault="00E268A3" w:rsidP="00E268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68A3" w:rsidRDefault="00E268A3" w:rsidP="00E268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33F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04F2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F65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3026F">
        <w:rPr>
          <w:color w:val="000000" w:themeColor="text1"/>
          <w:u w:color="000000" w:themeColor="text1"/>
        </w:rPr>
        <w:t>TO AMEND SECTION 15</w:t>
      </w:r>
      <w:r w:rsidRPr="00D3026F">
        <w:rPr>
          <w:color w:val="000000" w:themeColor="text1"/>
          <w:u w:color="000000" w:themeColor="text1"/>
        </w:rPr>
        <w:noBreakHyphen/>
        <w:t>78</w:t>
      </w:r>
      <w:r w:rsidRPr="00D3026F">
        <w:rPr>
          <w:color w:val="000000" w:themeColor="text1"/>
          <w:u w:color="000000" w:themeColor="text1"/>
        </w:rPr>
        <w:noBreakHyphen/>
        <w:t>60, CODE OF LAWS OF SOUTH CAROLINA, 1976, RELATING TO EXCEPTIONS TO WAIVER OF IMMUNITY REGARDING THE TORT CLAIMS ACT, SO AS TO INCLUDE COUNSEL OR ADVISORY OPINIONS OF CIRCUIT SOLICITORS OR AUTHORIZED PROSECUTORS IN THE PURVIEW OF THE STATUTE; AND TO AMEND SECTION 15</w:t>
      </w:r>
      <w:r w:rsidRPr="00D3026F">
        <w:rPr>
          <w:color w:val="000000" w:themeColor="text1"/>
          <w:u w:color="000000" w:themeColor="text1"/>
        </w:rPr>
        <w:noBreakHyphen/>
        <w:t>78</w:t>
      </w:r>
      <w:r w:rsidRPr="00D3026F">
        <w:rPr>
          <w:color w:val="000000" w:themeColor="text1"/>
          <w:u w:color="000000" w:themeColor="text1"/>
        </w:rPr>
        <w:noBreakHyphen/>
        <w:t>70, RELATING TO LIABILITY FOR ACTS OF GOVERNMENT EMPLOYEES UNDER THE TORT CLAIMS ACT, SO AS TO FURTHER PROVIDE IMMUNITY FOR CIRCUIT SOLICITORS OR AUTHORIZED PROSECUTORS FOR ANY COUNSEL OR ADVISORY OPINIONS REQUESTED BY OR PROVIDED TO LAW ENFORCEMENT UNDER CERTAIN CIRCUMSTANCES.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04F2E" w:rsidRDefault="00304F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04F2E" w:rsidRDefault="00304F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65AC" w:rsidRDefault="009F65AC" w:rsidP="009F65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026F">
        <w:rPr>
          <w:color w:val="000000" w:themeColor="text1"/>
          <w:u w:color="000000" w:themeColor="text1"/>
        </w:rPr>
        <w:t>SECTION</w:t>
      </w:r>
      <w:r w:rsidRPr="00D3026F">
        <w:rPr>
          <w:color w:val="000000" w:themeColor="text1"/>
          <w:u w:color="000000" w:themeColor="text1"/>
        </w:rPr>
        <w:tab/>
        <w:t>1.</w:t>
      </w:r>
      <w:r w:rsidRPr="00D3026F">
        <w:rPr>
          <w:color w:val="000000" w:themeColor="text1"/>
          <w:u w:color="000000" w:themeColor="text1"/>
        </w:rPr>
        <w:tab/>
        <w:t>Section 15</w:t>
      </w:r>
      <w:r w:rsidRPr="00D3026F">
        <w:rPr>
          <w:color w:val="000000" w:themeColor="text1"/>
          <w:u w:color="000000" w:themeColor="text1"/>
        </w:rPr>
        <w:noBreakHyphen/>
        <w:t>78</w:t>
      </w:r>
      <w:r w:rsidRPr="00D3026F">
        <w:rPr>
          <w:color w:val="000000" w:themeColor="text1"/>
          <w:u w:color="000000" w:themeColor="text1"/>
        </w:rPr>
        <w:noBreakHyphen/>
        <w:t>60 of the 1976 Code is amended by adding an appropriately numbered item at the end to read:</w:t>
      </w:r>
    </w:p>
    <w:p w:rsidR="009F65AC" w:rsidRDefault="009F65AC" w:rsidP="009F65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2BC0" w:rsidRDefault="00132BC0" w:rsidP="00132B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4E6D">
        <w:rPr>
          <w:color w:val="000000" w:themeColor="text1"/>
          <w:u w:color="000000" w:themeColor="text1"/>
        </w:rPr>
        <w:tab/>
        <w:t>“</w:t>
      </w:r>
      <w:r w:rsidR="00B12A12">
        <w:rPr>
          <w:color w:val="000000" w:themeColor="text1"/>
          <w:u w:color="000000" w:themeColor="text1"/>
        </w:rPr>
        <w:t xml:space="preserve">(  </w:t>
      </w:r>
      <w:r w:rsidRPr="00C54E6D">
        <w:rPr>
          <w:color w:val="000000" w:themeColor="text1"/>
          <w:u w:color="000000" w:themeColor="text1"/>
        </w:rPr>
        <w:t>)</w:t>
      </w:r>
      <w:r w:rsidRPr="00C54E6D">
        <w:rPr>
          <w:color w:val="000000" w:themeColor="text1"/>
          <w:u w:color="000000" w:themeColor="text1"/>
        </w:rPr>
        <w:tab/>
        <w:t xml:space="preserve">counsel or advisory opinion of a </w:t>
      </w:r>
      <w:r w:rsidR="008C55A7">
        <w:rPr>
          <w:color w:val="000000" w:themeColor="text1"/>
          <w:u w:color="000000" w:themeColor="text1"/>
        </w:rPr>
        <w:t>circuit solicitor</w:t>
      </w:r>
      <w:r w:rsidRPr="00C54E6D">
        <w:rPr>
          <w:color w:val="000000" w:themeColor="text1"/>
          <w:u w:color="000000" w:themeColor="text1"/>
        </w:rPr>
        <w:t xml:space="preserve"> or authorized prosecu</w:t>
      </w:r>
      <w:r w:rsidR="00B12A12">
        <w:rPr>
          <w:color w:val="000000" w:themeColor="text1"/>
          <w:u w:color="000000" w:themeColor="text1"/>
        </w:rPr>
        <w:t xml:space="preserve">tor of a </w:t>
      </w:r>
      <w:r w:rsidR="008C55A7">
        <w:rPr>
          <w:color w:val="000000" w:themeColor="text1"/>
          <w:u w:color="000000" w:themeColor="text1"/>
        </w:rPr>
        <w:t>circuit solicitor</w:t>
      </w:r>
      <w:r w:rsidR="00B12A12">
        <w:rPr>
          <w:color w:val="000000" w:themeColor="text1"/>
          <w:u w:color="000000" w:themeColor="text1"/>
        </w:rPr>
        <w:t xml:space="preserve"> when</w:t>
      </w:r>
      <w:r w:rsidRPr="00C54E6D">
        <w:rPr>
          <w:color w:val="000000" w:themeColor="text1"/>
          <w:u w:color="000000" w:themeColor="text1"/>
        </w:rPr>
        <w:t xml:space="preserve"> the counsel or advisory opinion is requested by and provided to a law enforcement officer</w:t>
      </w:r>
      <w:r w:rsidR="00B12A12">
        <w:rPr>
          <w:color w:val="000000" w:themeColor="text1"/>
          <w:u w:color="000000" w:themeColor="text1"/>
        </w:rPr>
        <w:t>,</w:t>
      </w:r>
      <w:r w:rsidRPr="00C54E6D">
        <w:rPr>
          <w:color w:val="000000" w:themeColor="text1"/>
          <w:u w:color="000000" w:themeColor="text1"/>
        </w:rPr>
        <w:t xml:space="preserve"> as defined in Section 23</w:t>
      </w:r>
      <w:r w:rsidRPr="00C54E6D">
        <w:rPr>
          <w:color w:val="000000" w:themeColor="text1"/>
          <w:u w:color="000000" w:themeColor="text1"/>
        </w:rPr>
        <w:noBreakHyphen/>
        <w:t>23</w:t>
      </w:r>
      <w:r w:rsidRPr="00C54E6D">
        <w:rPr>
          <w:color w:val="000000" w:themeColor="text1"/>
          <w:u w:color="000000" w:themeColor="text1"/>
        </w:rPr>
        <w:noBreakHyphen/>
        <w:t>10(E)(1)</w:t>
      </w:r>
      <w:r w:rsidR="00B12A12">
        <w:rPr>
          <w:color w:val="000000" w:themeColor="text1"/>
          <w:u w:color="000000" w:themeColor="text1"/>
        </w:rPr>
        <w:t>,</w:t>
      </w:r>
      <w:r w:rsidRPr="00C54E6D">
        <w:rPr>
          <w:color w:val="000000" w:themeColor="text1"/>
          <w:u w:color="000000" w:themeColor="text1"/>
        </w:rPr>
        <w:t xml:space="preserve"> regarding and prior to the issuance of a warrant against or arrest of a person.”</w:t>
      </w:r>
    </w:p>
    <w:p w:rsidR="00132BC0" w:rsidRDefault="00132BC0" w:rsidP="00132B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65AC" w:rsidRDefault="009F65AC" w:rsidP="009F65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026F">
        <w:rPr>
          <w:color w:val="000000" w:themeColor="text1"/>
          <w:u w:color="000000" w:themeColor="text1"/>
        </w:rPr>
        <w:t>SECTION</w:t>
      </w:r>
      <w:r w:rsidRPr="00D3026F">
        <w:rPr>
          <w:color w:val="000000" w:themeColor="text1"/>
          <w:u w:color="000000" w:themeColor="text1"/>
        </w:rPr>
        <w:tab/>
        <w:t>2.</w:t>
      </w:r>
      <w:r w:rsidRPr="00D3026F">
        <w:rPr>
          <w:color w:val="000000" w:themeColor="text1"/>
          <w:u w:color="000000" w:themeColor="text1"/>
        </w:rPr>
        <w:tab/>
        <w:t>Section 15</w:t>
      </w:r>
      <w:r w:rsidRPr="00D3026F">
        <w:rPr>
          <w:color w:val="000000" w:themeColor="text1"/>
          <w:u w:color="000000" w:themeColor="text1"/>
        </w:rPr>
        <w:noBreakHyphen/>
        <w:t>78</w:t>
      </w:r>
      <w:r w:rsidRPr="00D3026F">
        <w:rPr>
          <w:color w:val="000000" w:themeColor="text1"/>
          <w:u w:color="000000" w:themeColor="text1"/>
        </w:rPr>
        <w:noBreakHyphen/>
        <w:t>70 of the 1976 Code is amended by adding an appropriately lettered subsection at the end to read:</w:t>
      </w:r>
    </w:p>
    <w:p w:rsidR="00132BC0" w:rsidRDefault="00132BC0" w:rsidP="009F65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2BC0" w:rsidRDefault="00132BC0" w:rsidP="00132B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4E6D">
        <w:rPr>
          <w:color w:val="000000" w:themeColor="text1"/>
          <w:u w:color="000000" w:themeColor="text1"/>
        </w:rPr>
        <w:tab/>
        <w:t>“</w:t>
      </w:r>
      <w:r w:rsidR="00B12A12">
        <w:rPr>
          <w:color w:val="000000" w:themeColor="text1"/>
          <w:u w:color="000000" w:themeColor="text1"/>
        </w:rPr>
        <w:t xml:space="preserve">(  </w:t>
      </w:r>
      <w:r w:rsidRPr="00C54E6D">
        <w:rPr>
          <w:color w:val="000000" w:themeColor="text1"/>
          <w:u w:color="000000" w:themeColor="text1"/>
        </w:rPr>
        <w:t>)</w:t>
      </w:r>
      <w:r w:rsidRPr="00C54E6D">
        <w:rPr>
          <w:color w:val="000000" w:themeColor="text1"/>
          <w:u w:color="000000" w:themeColor="text1"/>
        </w:rPr>
        <w:tab/>
        <w:t xml:space="preserve">For purposes of this chapter, any counsel or advisory opinion of a </w:t>
      </w:r>
      <w:r w:rsidR="008C55A7">
        <w:rPr>
          <w:color w:val="000000" w:themeColor="text1"/>
          <w:u w:color="000000" w:themeColor="text1"/>
        </w:rPr>
        <w:t>circuit solicitor</w:t>
      </w:r>
      <w:r w:rsidRPr="00C54E6D">
        <w:rPr>
          <w:color w:val="000000" w:themeColor="text1"/>
          <w:u w:color="000000" w:themeColor="text1"/>
        </w:rPr>
        <w:t xml:space="preserve"> or authorized prosecutor of a </w:t>
      </w:r>
      <w:r w:rsidR="008C55A7">
        <w:rPr>
          <w:color w:val="000000" w:themeColor="text1"/>
          <w:u w:color="000000" w:themeColor="text1"/>
        </w:rPr>
        <w:t>circuit solicitor</w:t>
      </w:r>
      <w:r w:rsidRPr="00C54E6D">
        <w:rPr>
          <w:color w:val="000000" w:themeColor="text1"/>
          <w:u w:color="000000" w:themeColor="text1"/>
        </w:rPr>
        <w:t xml:space="preserve"> requested by and provid</w:t>
      </w:r>
      <w:r w:rsidR="00B12A12">
        <w:rPr>
          <w:color w:val="000000" w:themeColor="text1"/>
          <w:u w:color="000000" w:themeColor="text1"/>
        </w:rPr>
        <w:t xml:space="preserve">ed to a law enforcement officer, </w:t>
      </w:r>
      <w:r w:rsidRPr="00C54E6D">
        <w:rPr>
          <w:color w:val="000000" w:themeColor="text1"/>
          <w:u w:color="000000" w:themeColor="text1"/>
        </w:rPr>
        <w:t xml:space="preserve">as defined </w:t>
      </w:r>
      <w:r w:rsidRPr="00C54E6D">
        <w:rPr>
          <w:color w:val="000000" w:themeColor="text1"/>
          <w:u w:color="000000" w:themeColor="text1"/>
        </w:rPr>
        <w:lastRenderedPageBreak/>
        <w:t>in Section 23</w:t>
      </w:r>
      <w:r w:rsidRPr="00C54E6D">
        <w:rPr>
          <w:color w:val="000000" w:themeColor="text1"/>
          <w:u w:color="000000" w:themeColor="text1"/>
        </w:rPr>
        <w:noBreakHyphen/>
        <w:t>23</w:t>
      </w:r>
      <w:r w:rsidRPr="00C54E6D">
        <w:rPr>
          <w:color w:val="000000" w:themeColor="text1"/>
          <w:u w:color="000000" w:themeColor="text1"/>
        </w:rPr>
        <w:noBreakHyphen/>
        <w:t>10(E)(1)</w:t>
      </w:r>
      <w:r w:rsidR="00B12A12">
        <w:rPr>
          <w:color w:val="000000" w:themeColor="text1"/>
          <w:u w:color="000000" w:themeColor="text1"/>
        </w:rPr>
        <w:t>,</w:t>
      </w:r>
      <w:r w:rsidRPr="00C54E6D">
        <w:rPr>
          <w:color w:val="000000" w:themeColor="text1"/>
          <w:u w:color="000000" w:themeColor="text1"/>
        </w:rPr>
        <w:t xml:space="preserve"> regarding and prior to the issuance of a warrant against or arrest of a person is conduct within the scope </w:t>
      </w:r>
      <w:r w:rsidR="00E91AF5">
        <w:rPr>
          <w:color w:val="000000" w:themeColor="text1"/>
          <w:u w:color="000000" w:themeColor="text1"/>
        </w:rPr>
        <w:t xml:space="preserve">of </w:t>
      </w:r>
      <w:r w:rsidRPr="00C54E6D">
        <w:rPr>
          <w:color w:val="000000" w:themeColor="text1"/>
          <w:u w:color="000000" w:themeColor="text1"/>
        </w:rPr>
        <w:t xml:space="preserve">the official duties of the </w:t>
      </w:r>
      <w:r w:rsidR="008C55A7">
        <w:rPr>
          <w:color w:val="000000" w:themeColor="text1"/>
          <w:u w:color="000000" w:themeColor="text1"/>
        </w:rPr>
        <w:t>circuit solicitor</w:t>
      </w:r>
      <w:r w:rsidRPr="00C54E6D">
        <w:rPr>
          <w:color w:val="000000" w:themeColor="text1"/>
          <w:u w:color="000000" w:themeColor="text1"/>
        </w:rPr>
        <w:t xml:space="preserve"> or authorized prosecutor of a </w:t>
      </w:r>
      <w:r w:rsidR="008C55A7">
        <w:rPr>
          <w:color w:val="000000" w:themeColor="text1"/>
          <w:u w:color="000000" w:themeColor="text1"/>
        </w:rPr>
        <w:t>circuit solicitor</w:t>
      </w:r>
      <w:r w:rsidRPr="00C54E6D">
        <w:rPr>
          <w:color w:val="000000" w:themeColor="text1"/>
          <w:u w:color="000000" w:themeColor="text1"/>
        </w:rPr>
        <w:t>, who is absolutely immune from suit for any tort claim arising out of such conduct.  The provisions of this section shall not be construed to limit, modify</w:t>
      </w:r>
      <w:r w:rsidR="00B12A12">
        <w:rPr>
          <w:color w:val="000000" w:themeColor="text1"/>
          <w:u w:color="000000" w:themeColor="text1"/>
        </w:rPr>
        <w:t>,</w:t>
      </w:r>
      <w:r w:rsidRPr="00C54E6D">
        <w:rPr>
          <w:color w:val="000000" w:themeColor="text1"/>
          <w:u w:color="000000" w:themeColor="text1"/>
        </w:rPr>
        <w:t xml:space="preserve"> or reduce the protections, immunities from suit</w:t>
      </w:r>
      <w:r w:rsidR="00B12A12">
        <w:rPr>
          <w:color w:val="000000" w:themeColor="text1"/>
          <w:u w:color="000000" w:themeColor="text1"/>
        </w:rPr>
        <w:t>,</w:t>
      </w:r>
      <w:r w:rsidRPr="00C54E6D">
        <w:rPr>
          <w:color w:val="000000" w:themeColor="text1"/>
          <w:u w:color="000000" w:themeColor="text1"/>
        </w:rPr>
        <w:t xml:space="preserve"> or exemptions from liability of a </w:t>
      </w:r>
      <w:r w:rsidR="008C55A7">
        <w:rPr>
          <w:color w:val="000000" w:themeColor="text1"/>
          <w:u w:color="000000" w:themeColor="text1"/>
        </w:rPr>
        <w:t>circuit solicitor</w:t>
      </w:r>
      <w:r w:rsidRPr="00C54E6D">
        <w:rPr>
          <w:color w:val="000000" w:themeColor="text1"/>
          <w:u w:color="000000" w:themeColor="text1"/>
        </w:rPr>
        <w:t xml:space="preserve"> or authorized prosecutor of a </w:t>
      </w:r>
      <w:r w:rsidR="008C55A7">
        <w:rPr>
          <w:color w:val="000000" w:themeColor="text1"/>
          <w:u w:color="000000" w:themeColor="text1"/>
        </w:rPr>
        <w:t>circuit solicitor</w:t>
      </w:r>
      <w:r w:rsidRPr="00C54E6D">
        <w:rPr>
          <w:color w:val="000000" w:themeColor="text1"/>
          <w:u w:color="000000" w:themeColor="text1"/>
        </w:rPr>
        <w:t>.”</w:t>
      </w:r>
    </w:p>
    <w:p w:rsidR="009F6C96" w:rsidRDefault="009F6C96" w:rsidP="00132B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6C96" w:rsidRDefault="009F6C96" w:rsidP="00132B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9F6C96" w:rsidRPr="00C54E6D" w:rsidRDefault="009F6C96" w:rsidP="00132B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04F2E" w:rsidRDefault="00304F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F6C96">
        <w:t>4</w:t>
      </w:r>
      <w:r>
        <w:t>.</w:t>
      </w:r>
      <w:r>
        <w:tab/>
        <w:t>This act takes effect upon approval by the Governor.</w:t>
      </w:r>
    </w:p>
    <w:p w:rsidR="00AA26E5"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33F84" w:rsidRDefault="00D33F84" w:rsidP="00D33F84">
      <w:pPr>
        <w:suppressAutoHyphens/>
      </w:pPr>
    </w:p>
    <w:sectPr w:rsidR="00D33F84" w:rsidSect="00D33F8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4F2E" w:rsidRDefault="00304F2E" w:rsidP="009F0C77">
      <w:r>
        <w:separator/>
      </w:r>
    </w:p>
  </w:endnote>
  <w:endnote w:type="continuationSeparator" w:id="0">
    <w:p w:rsidR="00304F2E" w:rsidRDefault="00304F2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7B17008-0576-4386-BBD9-4BA171696ECC}"/>
    <w:embedBold r:id="rId2" w:fontKey="{72255411-B27A-42D4-A566-7BD3BC883E50}"/>
  </w:font>
  <w:font w:name="Calibri">
    <w:panose1 w:val="020F0502020204030204"/>
    <w:charset w:val="00"/>
    <w:family w:val="swiss"/>
    <w:pitch w:val="variable"/>
    <w:sig w:usb0="E00002FF" w:usb1="4000ACFF" w:usb2="00000001" w:usb3="00000000" w:csb0="0000019F" w:csb1="00000000"/>
    <w:embedRegular r:id="rId3" w:fontKey="{4A9511C9-3D19-4531-A100-1DE49E51CD31}"/>
  </w:font>
  <w:font w:name="Segoe UI">
    <w:panose1 w:val="020B0502040204020203"/>
    <w:charset w:val="00"/>
    <w:family w:val="swiss"/>
    <w:pitch w:val="variable"/>
    <w:sig w:usb0="E10022FF" w:usb1="C000E47F" w:usb2="00000029" w:usb3="00000000" w:csb0="000001DF" w:csb1="00000000"/>
    <w:embedRegular r:id="rId4" w:fontKey="{8D1542FC-A96C-4626-A28C-9F0094537BFA}"/>
  </w:font>
  <w:font w:name="Cambria">
    <w:panose1 w:val="02040503050406030204"/>
    <w:charset w:val="00"/>
    <w:family w:val="roman"/>
    <w:pitch w:val="variable"/>
    <w:sig w:usb0="E00002FF" w:usb1="400004FF" w:usb2="00000000" w:usb3="00000000" w:csb0="0000019F" w:csb1="00000000"/>
    <w:embedRegular r:id="rId5" w:fontKey="{9C7C9BB9-5A59-4068-B6AF-790A2240AC2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26E5" w:rsidRPr="00D33F84" w:rsidRDefault="00D33F84" w:rsidP="00D33F84">
    <w:pPr>
      <w:pStyle w:val="Footer"/>
      <w:tabs>
        <w:tab w:val="clear" w:pos="4680"/>
        <w:tab w:val="clear" w:pos="9360"/>
        <w:tab w:val="center" w:pos="2995"/>
      </w:tabs>
      <w:spacing w:before="120"/>
    </w:pPr>
    <w:r>
      <w:t>[3643]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4F2E" w:rsidRDefault="00304F2E" w:rsidP="009F0C77">
      <w:r>
        <w:separator/>
      </w:r>
    </w:p>
  </w:footnote>
  <w:footnote w:type="continuationSeparator" w:id="0">
    <w:p w:rsidR="00304F2E" w:rsidRDefault="00304F2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06AHB19"/>
    <w:docVar w:name="CoverBillType" w:val="b"/>
    <w:docVar w:name="DocPath" w:val="L:\Council\bills\BH\7106AHB19.DOCX"/>
    <w:docVar w:name="dvBillNumber" w:val="3643"/>
    <w:docVar w:name="dvBillNumberPrefix" w:val="H. "/>
    <w:docVar w:name="dvOriginalBody" w:val="House"/>
    <w:docVar w:name="dvSteno" w:val="BH"/>
    <w:docVar w:name="NameofBody" w:val="h"/>
    <w:docVar w:name="vGroup2" w:val="Council"/>
  </w:docVars>
  <w:rsids>
    <w:rsidRoot w:val="00304F2E"/>
    <w:rsid w:val="00011869"/>
    <w:rsid w:val="00015CD6"/>
    <w:rsid w:val="000E0100"/>
    <w:rsid w:val="000E1785"/>
    <w:rsid w:val="000F40FA"/>
    <w:rsid w:val="001035F1"/>
    <w:rsid w:val="0010776B"/>
    <w:rsid w:val="00132BC0"/>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A1A33"/>
    <w:rsid w:val="002E5912"/>
    <w:rsid w:val="00301B21"/>
    <w:rsid w:val="00304F2E"/>
    <w:rsid w:val="00325348"/>
    <w:rsid w:val="0032732C"/>
    <w:rsid w:val="00336AD0"/>
    <w:rsid w:val="0037079A"/>
    <w:rsid w:val="003C4DAB"/>
    <w:rsid w:val="003D01E8"/>
    <w:rsid w:val="003E5288"/>
    <w:rsid w:val="003F6D79"/>
    <w:rsid w:val="0041760A"/>
    <w:rsid w:val="00417C01"/>
    <w:rsid w:val="004403BD"/>
    <w:rsid w:val="00461441"/>
    <w:rsid w:val="004809EE"/>
    <w:rsid w:val="00484916"/>
    <w:rsid w:val="004E7D54"/>
    <w:rsid w:val="00525FA9"/>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80C82"/>
    <w:rsid w:val="007A70AE"/>
    <w:rsid w:val="008362E8"/>
    <w:rsid w:val="0085786E"/>
    <w:rsid w:val="008A1768"/>
    <w:rsid w:val="008A489F"/>
    <w:rsid w:val="008C55A7"/>
    <w:rsid w:val="008F0F33"/>
    <w:rsid w:val="008F4429"/>
    <w:rsid w:val="0094021A"/>
    <w:rsid w:val="009B44AF"/>
    <w:rsid w:val="009C6A0B"/>
    <w:rsid w:val="009F0C77"/>
    <w:rsid w:val="009F4DD1"/>
    <w:rsid w:val="009F65AC"/>
    <w:rsid w:val="009F6C96"/>
    <w:rsid w:val="00A02543"/>
    <w:rsid w:val="00A41684"/>
    <w:rsid w:val="00A64E80"/>
    <w:rsid w:val="00A72BCD"/>
    <w:rsid w:val="00A741D9"/>
    <w:rsid w:val="00A833AB"/>
    <w:rsid w:val="00A9741D"/>
    <w:rsid w:val="00AA26E5"/>
    <w:rsid w:val="00AC34A2"/>
    <w:rsid w:val="00AD1C9A"/>
    <w:rsid w:val="00AD4B17"/>
    <w:rsid w:val="00B12A12"/>
    <w:rsid w:val="00B412D4"/>
    <w:rsid w:val="00BE3C22"/>
    <w:rsid w:val="00BE5979"/>
    <w:rsid w:val="00C0345E"/>
    <w:rsid w:val="00C31C95"/>
    <w:rsid w:val="00C3483A"/>
    <w:rsid w:val="00C400EB"/>
    <w:rsid w:val="00C74E9D"/>
    <w:rsid w:val="00C826DD"/>
    <w:rsid w:val="00C82FD3"/>
    <w:rsid w:val="00C92819"/>
    <w:rsid w:val="00CC6B7B"/>
    <w:rsid w:val="00CD2089"/>
    <w:rsid w:val="00D33F84"/>
    <w:rsid w:val="00D73A67"/>
    <w:rsid w:val="00D970A9"/>
    <w:rsid w:val="00DF3845"/>
    <w:rsid w:val="00E268A3"/>
    <w:rsid w:val="00E41911"/>
    <w:rsid w:val="00E44B57"/>
    <w:rsid w:val="00E91AF5"/>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4A00320-D56A-4F5C-B302-444A72540B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400E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00E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D6CDD2-CB2C-4E9E-8961-5BB043D9C4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64749F45.dotm</Template>
  <TotalTime>0</TotalTime>
  <Pages>1</Pages>
  <Words>466</Words>
  <Characters>2395</Characters>
  <Application>Microsoft Office Word</Application>
  <DocSecurity>0</DocSecurity>
  <Lines>67</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3643 Text of Previous Version (Jan. 16, 2019) - South Carolina Legislature Online</dc:title>
  <dc:creator>Bonnie Huth</dc:creator>
  <cp:lastModifiedBy>S Volk</cp:lastModifiedBy>
  <cp:revision>2</cp:revision>
  <cp:lastPrinted>2019-01-16T14:29:00Z</cp:lastPrinted>
  <dcterms:created xsi:type="dcterms:W3CDTF">2019-01-16T21:00:00Z</dcterms:created>
  <dcterms:modified xsi:type="dcterms:W3CDTF">2019-01-16T21:00:00Z</dcterms:modified>
</cp:coreProperties>
</file>