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2D4F" w:rsidRDefault="00312D4F"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12D4F" w:rsidRPr="00312D4F" w:rsidRDefault="00312D4F"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12D4F" w:rsidRDefault="00312D4F"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D4F" w:rsidRDefault="002B372E"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2B372E" w:rsidRDefault="002B372E"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9, 2019</w:t>
      </w:r>
    </w:p>
    <w:p w:rsidR="002B372E" w:rsidRDefault="002B372E"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72E" w:rsidRPr="002B372E" w:rsidRDefault="002B372E" w:rsidP="002B372E">
      <w:pPr>
        <w:tabs>
          <w:tab w:val="right" w:pos="5933"/>
        </w:tabs>
        <w:suppressAutoHyphens/>
      </w:pPr>
      <w:r>
        <w:tab/>
      </w:r>
      <w:r>
        <w:rPr>
          <w:b/>
          <w:sz w:val="36"/>
        </w:rPr>
        <w:t>H. 3728</w:t>
      </w:r>
    </w:p>
    <w:p w:rsidR="002B372E" w:rsidRDefault="002B372E"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72E"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Fry, Alexander, Dillard, Erickson, Hewitt, Huggins, Norrell, Pendarvis, Ridgeway, Rutherford, Spires, Trantham, Weeks, West, Wooten, Yow, Henegan, Cogswell, Mack, R. Williams, Gilliard, Govan and B. Newton</w:t>
      </w:r>
    </w:p>
    <w:p w:rsidR="002B372E" w:rsidRDefault="002B372E"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72E" w:rsidRDefault="002B372E"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4/9/19--H.</w:t>
      </w:r>
    </w:p>
    <w:p w:rsidR="002B372E" w:rsidRDefault="002B372E"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23, 2019.</w:t>
      </w:r>
    </w:p>
    <w:p w:rsidR="002B372E" w:rsidRPr="002B372E"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B372E" w:rsidRDefault="002B372E"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72E" w:rsidRDefault="002B372E"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B372E" w:rsidSect="00312D4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27E0E" w:rsidRDefault="00027E0E"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E26" w:rsidRDefault="005D4E26"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E26" w:rsidRDefault="005D4E26"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E26" w:rsidRDefault="005D4E26"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E26" w:rsidRDefault="005D4E26"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E26" w:rsidRDefault="005D4E26"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E26" w:rsidRDefault="005D4E26"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E095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0D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C7A51">
        <w:rPr>
          <w:color w:val="000000" w:themeColor="text1"/>
          <w:u w:color="000000" w:themeColor="text1"/>
        </w:rPr>
        <w:t>TO AMEND THE CODE OF LAWS OF SOUTH CAROLINA, 1976, BY ADDING SECTION 44</w:t>
      </w:r>
      <w:r w:rsidR="00434151">
        <w:rPr>
          <w:color w:val="000000" w:themeColor="text1"/>
          <w:u w:color="000000" w:themeColor="text1"/>
        </w:rPr>
        <w:noBreakHyphen/>
      </w:r>
      <w:r w:rsidRPr="000C7A51">
        <w:rPr>
          <w:color w:val="000000" w:themeColor="text1"/>
          <w:u w:color="000000" w:themeColor="text1"/>
        </w:rPr>
        <w:t>130</w:t>
      </w:r>
      <w:r w:rsidR="00434151">
        <w:rPr>
          <w:color w:val="000000" w:themeColor="text1"/>
          <w:u w:color="000000" w:themeColor="text1"/>
        </w:rPr>
        <w:noBreakHyphen/>
      </w:r>
      <w:r>
        <w:rPr>
          <w:color w:val="000000" w:themeColor="text1"/>
          <w:u w:color="000000" w:themeColor="text1"/>
        </w:rPr>
        <w:t>8</w:t>
      </w:r>
      <w:r w:rsidRPr="000C7A51">
        <w:rPr>
          <w:color w:val="000000" w:themeColor="text1"/>
          <w:u w:color="000000" w:themeColor="text1"/>
        </w:rPr>
        <w:t xml:space="preserve">0 SO AS TO REQUIRE HOSPITAL EMERGENCY DEPARTMENT PHYSICIANS AND PHARMACISTS TO SUBMIT CERTAIN INFORMATION TO THE DEPARTMENT OF HEALTH AND ENVIRONMENTAL CONTROL (DHEC) FOR INCLUSION IN THE PRESCRIPTION </w:t>
      </w:r>
      <w:r>
        <w:rPr>
          <w:color w:val="000000" w:themeColor="text1"/>
          <w:u w:color="000000" w:themeColor="text1"/>
        </w:rPr>
        <w:t>MONITORING P</w:t>
      </w:r>
      <w:r w:rsidRPr="000C7A51">
        <w:rPr>
          <w:color w:val="000000" w:themeColor="text1"/>
          <w:u w:color="000000" w:themeColor="text1"/>
        </w:rPr>
        <w:t>ROGRAM WHEN A PERSON IS ADMINISTERED AN OPIOID ANTIDOTE; TO AMEND SECTION 44</w:t>
      </w:r>
      <w:r w:rsidR="00434151">
        <w:rPr>
          <w:color w:val="000000" w:themeColor="text1"/>
          <w:u w:color="000000" w:themeColor="text1"/>
        </w:rPr>
        <w:noBreakHyphen/>
      </w:r>
      <w:r w:rsidRPr="000C7A51">
        <w:rPr>
          <w:color w:val="000000" w:themeColor="text1"/>
          <w:u w:color="000000" w:themeColor="text1"/>
        </w:rPr>
        <w:t>130</w:t>
      </w:r>
      <w:r w:rsidR="00434151">
        <w:rPr>
          <w:color w:val="000000" w:themeColor="text1"/>
          <w:u w:color="000000" w:themeColor="text1"/>
        </w:rPr>
        <w:noBreakHyphen/>
      </w:r>
      <w:r w:rsidRPr="000C7A51">
        <w:rPr>
          <w:color w:val="000000" w:themeColor="text1"/>
          <w:u w:color="000000" w:themeColor="text1"/>
        </w:rPr>
        <w:t>60, RELATING TO THE AUTHORITY OF FIRST RESPONDERS TO ADMINISTER OPIOID ANTIDOTES, SO AS TO REQUIRE FIRST RESPONDERS TO SUBMIT CERTAIN INFORMATION TO DHEC FOR INCLUSION IN THE PRESCRIPTION MONITORING PROGRAM; TO AMEND SECTION 44</w:t>
      </w:r>
      <w:r w:rsidR="00434151">
        <w:rPr>
          <w:color w:val="000000" w:themeColor="text1"/>
          <w:u w:color="000000" w:themeColor="text1"/>
        </w:rPr>
        <w:noBreakHyphen/>
      </w:r>
      <w:r w:rsidRPr="000C7A51">
        <w:rPr>
          <w:color w:val="000000" w:themeColor="text1"/>
          <w:u w:color="000000" w:themeColor="text1"/>
        </w:rPr>
        <w:t>53</w:t>
      </w:r>
      <w:r w:rsidR="00434151">
        <w:rPr>
          <w:color w:val="000000" w:themeColor="text1"/>
          <w:u w:color="000000" w:themeColor="text1"/>
        </w:rPr>
        <w:noBreakHyphen/>
      </w:r>
      <w:r w:rsidRPr="000C7A51">
        <w:rPr>
          <w:color w:val="000000" w:themeColor="text1"/>
          <w:u w:color="000000" w:themeColor="text1"/>
        </w:rPr>
        <w:t>1640, RELATING TO THE PRESCRIPTION MONITORING PROGRAM, SO AS TO REQUIRE THE PROGRAM TO MONITOR THE ADMINISTERING OF OPIOID ANTIDOTES BY FIRST RESPONDERS AND IN EMERGENCY HEALTH CARE SETTINGS; AND TO AMEND SECTION 44</w:t>
      </w:r>
      <w:r w:rsidR="00434151">
        <w:rPr>
          <w:color w:val="000000" w:themeColor="text1"/>
          <w:u w:color="000000" w:themeColor="text1"/>
        </w:rPr>
        <w:noBreakHyphen/>
      </w:r>
      <w:r w:rsidRPr="000C7A51">
        <w:rPr>
          <w:color w:val="000000" w:themeColor="text1"/>
          <w:u w:color="000000" w:themeColor="text1"/>
        </w:rPr>
        <w:t>53</w:t>
      </w:r>
      <w:r w:rsidR="00434151">
        <w:rPr>
          <w:color w:val="000000" w:themeColor="text1"/>
          <w:u w:color="000000" w:themeColor="text1"/>
        </w:rPr>
        <w:noBreakHyphen/>
      </w:r>
      <w:r w:rsidRPr="000C7A51">
        <w:rPr>
          <w:color w:val="000000" w:themeColor="text1"/>
          <w:u w:color="000000" w:themeColor="text1"/>
        </w:rPr>
        <w:t>1645, RELATING TO THE REQUIREMENT OF PRACTITIONERS TO REVIEW A PATIENT</w:t>
      </w:r>
      <w:r w:rsidR="00434151" w:rsidRPr="00434151">
        <w:rPr>
          <w:color w:val="000000" w:themeColor="text1"/>
          <w:u w:color="000000" w:themeColor="text1"/>
        </w:rPr>
        <w:t>’</w:t>
      </w:r>
      <w:r w:rsidRPr="000C7A51">
        <w:rPr>
          <w:color w:val="000000" w:themeColor="text1"/>
          <w:u w:color="000000" w:themeColor="text1"/>
        </w:rPr>
        <w:t>S CONTROLLED SUBSTANCE PRESCRIPTION HISTORY BEFORE PRESCRIBING A SCHEDULE II CONTROLLED SUBSTANCE, SO AS TO ALSO REQUIRE A REVIEW OF ANY INCIDENTS IN WHICH THE PATIENT HAS BEEN ADMINISTERED AN OPIOID ANTIDOTE BY A FIRST RESPONDER OR IN AN EMERGENCY HEALTH CARE SETTING.</w:t>
      </w:r>
      <w:bookmarkEnd w:id="1"/>
    </w:p>
    <w:p w:rsidR="0010776B" w:rsidRDefault="002B37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B372E" w:rsidRDefault="002B37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950" w:rsidRDefault="002E09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0950" w:rsidRDefault="002E09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72E" w:rsidRPr="00714B51" w:rsidRDefault="001B3DA8"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2B372E" w:rsidRPr="00714B51">
        <w:t xml:space="preserve">Whereas, the South Carolina General Assembly is committed to combatting the opioid epidemic occurring within this State; and </w:t>
      </w:r>
    </w:p>
    <w:p w:rsidR="001B3DA8"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p>
    <w:p w:rsidR="002B372E" w:rsidRDefault="001B3DA8"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B372E" w:rsidRPr="00714B51">
        <w:t xml:space="preserve">Whereas, the South Carolina General Assembly has enacted and is working to enact legislation aimed at stemming the misuse of opioids in South Carolina; and </w:t>
      </w: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372E"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4B51">
        <w:t xml:space="preserve">Whereas, collecting information related to opioid use and misuse helps those working to better understand the complexities of substance abuse disorders and enables those working with patients suffering from this disease to develop strategies for treatment, education, and care; and </w:t>
      </w: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372E"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4B51">
        <w:t xml:space="preserve">Whereas, the purpose of this legislation is to provide data to health care professionals treating patients who have been diagnosed with an opioid overdose and received an antidote in response to that overdose; and </w:t>
      </w: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4B51">
        <w:t>Whereas, the South Carolina General Assembly intends for the information collected pursuant to this law to be used by health care professionals to assist patients in getting appropriate treatment including, but not limited to, treatment for substance abuse disorder; and</w:t>
      </w:r>
    </w:p>
    <w:p w:rsidR="002B372E"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714B51">
        <w:t>Whereas, the General Assembly intends further that the information collected pursuant to this law should not be used as the sole determining factor in a decision regarding whether to treat or refuse to treat a patient suffering from an opioid misuse.  Now therefore,</w:t>
      </w:r>
    </w:p>
    <w:p w:rsidR="002B372E"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4B51">
        <w:t>Be it enacted by the General Assembly of the State of South Carolina:</w:t>
      </w:r>
    </w:p>
    <w:p w:rsidR="002B372E"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372E"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B51">
        <w:t>SECTION</w:t>
      </w:r>
      <w:r w:rsidRPr="00714B51">
        <w:tab/>
        <w:t>1.</w:t>
      </w:r>
      <w:r w:rsidRPr="00714B51">
        <w:tab/>
      </w:r>
      <w:r w:rsidRPr="00714B51">
        <w:rPr>
          <w:u w:color="000000" w:themeColor="text1"/>
        </w:rPr>
        <w:t>Chapter 130, Title 44 of the 1976 Code is amended by adding:</w:t>
      </w: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B51">
        <w:rPr>
          <w:u w:color="000000" w:themeColor="text1"/>
        </w:rPr>
        <w:tab/>
        <w:t>“Section 44</w:t>
      </w:r>
      <w:r w:rsidRPr="00714B51">
        <w:rPr>
          <w:u w:color="000000" w:themeColor="text1"/>
        </w:rPr>
        <w:noBreakHyphen/>
        <w:t>130</w:t>
      </w:r>
      <w:r w:rsidRPr="00714B51">
        <w:rPr>
          <w:u w:color="000000" w:themeColor="text1"/>
        </w:rPr>
        <w:noBreakHyphen/>
        <w:t>80.</w:t>
      </w:r>
      <w:r w:rsidRPr="00714B51">
        <w:rPr>
          <w:u w:color="000000" w:themeColor="text1"/>
        </w:rPr>
        <w:tab/>
        <w:t>(</w:t>
      </w:r>
      <w:bookmarkStart w:id="5" w:name="temp"/>
      <w:bookmarkEnd w:id="5"/>
      <w:r w:rsidRPr="00714B51">
        <w:rPr>
          <w:u w:color="000000" w:themeColor="text1"/>
        </w:rPr>
        <w:t>A)</w:t>
      </w:r>
      <w:r w:rsidRPr="00714B51">
        <w:rPr>
          <w:u w:color="000000" w:themeColor="text1"/>
        </w:rPr>
        <w:tab/>
        <w:t xml:space="preserve">If a person is administered an opioid antidote in a hospital emergency department or other health care facility </w:t>
      </w:r>
      <w:r w:rsidRPr="00714B51">
        <w:t>and the supervising physician diagnoses the patient as having experienced</w:t>
      </w:r>
      <w:r w:rsidRPr="00714B51">
        <w:rPr>
          <w:u w:color="000000" w:themeColor="text1"/>
        </w:rPr>
        <w:t xml:space="preserve"> an opioid overdose, the </w:t>
      </w:r>
      <w:r w:rsidRPr="00714B51">
        <w:t>health care facility, as defined in Section 44-7-130,</w:t>
      </w:r>
      <w:r w:rsidRPr="00714B51">
        <w:rPr>
          <w:u w:color="000000" w:themeColor="text1"/>
        </w:rPr>
        <w:t xml:space="preserve"> shall report to the department’s Bureau of Drug Control information regarding the opioid antidote </w:t>
      </w:r>
      <w:r w:rsidRPr="00714B51">
        <w:rPr>
          <w:u w:color="000000" w:themeColor="text1"/>
        </w:rPr>
        <w:lastRenderedPageBreak/>
        <w:t>administered for inclusion in the prescription monitoring program. The information submitted must include:</w:t>
      </w: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B51">
        <w:rPr>
          <w:u w:color="000000" w:themeColor="text1"/>
        </w:rPr>
        <w:tab/>
      </w:r>
      <w:r w:rsidRPr="00714B51">
        <w:rPr>
          <w:u w:color="000000" w:themeColor="text1"/>
        </w:rPr>
        <w:tab/>
        <w:t>(1)</w:t>
      </w:r>
      <w:r w:rsidRPr="00714B51">
        <w:rPr>
          <w:u w:color="000000" w:themeColor="text1"/>
        </w:rPr>
        <w:tab/>
        <w:t>date the opioid antidote was administered; and</w:t>
      </w: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B51">
        <w:rPr>
          <w:u w:color="000000" w:themeColor="text1"/>
        </w:rPr>
        <w:tab/>
      </w:r>
      <w:r w:rsidRPr="00714B51">
        <w:rPr>
          <w:u w:color="000000" w:themeColor="text1"/>
        </w:rPr>
        <w:tab/>
        <w:t>(2)</w:t>
      </w:r>
      <w:r w:rsidRPr="00714B51">
        <w:rPr>
          <w:u w:color="000000" w:themeColor="text1"/>
        </w:rPr>
        <w:tab/>
        <w:t>name, address, and date of birth of the person to whom the opioid antidote was administered.</w:t>
      </w: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B51">
        <w:rPr>
          <w:u w:color="000000" w:themeColor="text1"/>
        </w:rPr>
        <w:tab/>
        <w:t>(B)</w:t>
      </w:r>
      <w:r w:rsidRPr="00714B51">
        <w:rPr>
          <w:u w:color="000000" w:themeColor="text1"/>
        </w:rPr>
        <w:tab/>
        <w:t xml:space="preserve">The </w:t>
      </w:r>
      <w:r w:rsidRPr="00714B51">
        <w:t>health care facility, as defined in Section 44-7-130,</w:t>
      </w:r>
      <w:r w:rsidRPr="00714B51">
        <w:rPr>
          <w:u w:color="000000" w:themeColor="text1"/>
        </w:rPr>
        <w:t xml:space="preserve"> shall submit the information required pursuant to subsection (A) electronically or by facsimile to Drug Control within </w:t>
      </w:r>
      <w:r w:rsidRPr="00714B51">
        <w:t>thirty days after</w:t>
      </w:r>
      <w:r w:rsidRPr="00714B51">
        <w:rPr>
          <w:u w:color="000000" w:themeColor="text1"/>
        </w:rPr>
        <w:t xml:space="preserve"> </w:t>
      </w:r>
      <w:r w:rsidRPr="00714B51">
        <w:t>a discharge</w:t>
      </w:r>
      <w:r w:rsidRPr="00714B51">
        <w:rPr>
          <w:u w:color="000000" w:themeColor="text1"/>
        </w:rPr>
        <w:t xml:space="preserve"> </w:t>
      </w:r>
      <w:r w:rsidRPr="00714B51">
        <w:t>diagnosis of an opioid overdose and administration of an opioid antidote</w:t>
      </w:r>
      <w:r w:rsidRPr="00714B51">
        <w:rPr>
          <w:u w:color="000000" w:themeColor="text1"/>
        </w:rPr>
        <w:t>.</w:t>
      </w: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B51">
        <w:rPr>
          <w:u w:color="000000" w:themeColor="text1"/>
        </w:rPr>
        <w:tab/>
        <w:t>(C)(1)</w:t>
      </w:r>
      <w:r w:rsidRPr="00714B51">
        <w:rPr>
          <w:u w:color="000000" w:themeColor="text1"/>
        </w:rPr>
        <w:tab/>
        <w:t xml:space="preserve">After a </w:t>
      </w:r>
      <w:r w:rsidRPr="00714B51">
        <w:t>health care facility, as defined in Section 44-7-130,</w:t>
      </w:r>
      <w:r w:rsidRPr="00714B51">
        <w:rPr>
          <w:u w:color="000000" w:themeColor="text1"/>
        </w:rPr>
        <w:t xml:space="preserve"> submits the name, address, and date of birth of a person to whom an opioid antidote was administered as required by subsection (A), Drug Control shall verify whether any prescription history of the person appears in the prescription monitoring program and, if prescription history exists, shall document for review by a practitioner or an authorized delegate the date on which the opioid antidote was administered to the person.</w:t>
      </w: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B51">
        <w:rPr>
          <w:u w:color="000000" w:themeColor="text1"/>
        </w:rPr>
        <w:tab/>
      </w:r>
      <w:r w:rsidRPr="00714B51">
        <w:rPr>
          <w:u w:color="000000" w:themeColor="text1"/>
        </w:rPr>
        <w:tab/>
        <w:t>(2)</w:t>
      </w:r>
      <w:r w:rsidRPr="00714B51">
        <w:rPr>
          <w:u w:color="000000" w:themeColor="text1"/>
        </w:rPr>
        <w:tab/>
        <w:t xml:space="preserve">Drug Control also shall maintain data on the administering of opioid antidotes as required by this section including, but not limited to, the frequency with which opioid antidotes are administered in hospital emergency departments </w:t>
      </w:r>
      <w:r w:rsidRPr="00714B51">
        <w:t>as required pursuant to subsection (A)</w:t>
      </w:r>
      <w:r w:rsidRPr="00714B51">
        <w:rPr>
          <w:u w:color="000000" w:themeColor="text1"/>
        </w:rPr>
        <w:t xml:space="preserve"> and other health care facilities by geographic location.”</w:t>
      </w:r>
    </w:p>
    <w:p w:rsidR="002B372E"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B372E"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B51">
        <w:rPr>
          <w:u w:color="000000" w:themeColor="text1"/>
        </w:rPr>
        <w:t>SECTION</w:t>
      </w:r>
      <w:r w:rsidRPr="00714B51">
        <w:rPr>
          <w:u w:color="000000" w:themeColor="text1"/>
        </w:rPr>
        <w:tab/>
        <w:t>2.</w:t>
      </w:r>
      <w:r w:rsidRPr="00714B51">
        <w:rPr>
          <w:u w:color="000000" w:themeColor="text1"/>
        </w:rPr>
        <w:tab/>
        <w:t>Section 44</w:t>
      </w:r>
      <w:r w:rsidRPr="00714B51">
        <w:rPr>
          <w:u w:color="000000" w:themeColor="text1"/>
        </w:rPr>
        <w:noBreakHyphen/>
        <w:t>130</w:t>
      </w:r>
      <w:r w:rsidRPr="00714B51">
        <w:rPr>
          <w:u w:color="000000" w:themeColor="text1"/>
        </w:rPr>
        <w:noBreakHyphen/>
        <w:t>60 of the 1976 Code is amended by adding an appropriately lettered subsection at the end to read:</w:t>
      </w: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B51">
        <w:rPr>
          <w:u w:color="000000" w:themeColor="text1"/>
        </w:rPr>
        <w:tab/>
        <w:t>“( )(1)</w:t>
      </w:r>
      <w:r w:rsidRPr="00714B51">
        <w:rPr>
          <w:u w:color="000000" w:themeColor="text1"/>
        </w:rPr>
        <w:tab/>
        <w:t xml:space="preserve">A first responder who administers an opioid antidote as provided in this section shall report to the department’s Bureau of </w:t>
      </w:r>
      <w:r w:rsidRPr="00714B51">
        <w:t>Emergency Medical Services</w:t>
      </w:r>
      <w:r w:rsidRPr="00714B51">
        <w:rPr>
          <w:u w:color="000000" w:themeColor="text1"/>
        </w:rPr>
        <w:t xml:space="preserve"> information regarding the opioid antidote administered for inclusion in the prescription monitoring program. The information submitted must include:</w:t>
      </w: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B51">
        <w:rPr>
          <w:u w:color="000000" w:themeColor="text1"/>
        </w:rPr>
        <w:tab/>
      </w:r>
      <w:r w:rsidRPr="00714B51">
        <w:rPr>
          <w:u w:color="000000" w:themeColor="text1"/>
        </w:rPr>
        <w:tab/>
      </w:r>
      <w:r w:rsidRPr="00714B51">
        <w:rPr>
          <w:u w:color="000000" w:themeColor="text1"/>
        </w:rPr>
        <w:tab/>
        <w:t>(a)</w:t>
      </w:r>
      <w:r w:rsidRPr="00714B51">
        <w:rPr>
          <w:u w:color="000000" w:themeColor="text1"/>
        </w:rPr>
        <w:tab/>
        <w:t>date the opioid antidote was administered; and</w:t>
      </w: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B51">
        <w:rPr>
          <w:u w:color="000000" w:themeColor="text1"/>
        </w:rPr>
        <w:tab/>
      </w:r>
      <w:r w:rsidRPr="00714B51">
        <w:rPr>
          <w:u w:color="000000" w:themeColor="text1"/>
        </w:rPr>
        <w:tab/>
      </w:r>
      <w:r w:rsidRPr="00714B51">
        <w:rPr>
          <w:u w:color="000000" w:themeColor="text1"/>
        </w:rPr>
        <w:tab/>
        <w:t>(b)</w:t>
      </w:r>
      <w:r w:rsidRPr="00714B51">
        <w:rPr>
          <w:u w:color="000000" w:themeColor="text1"/>
        </w:rPr>
        <w:tab/>
        <w:t>name, address, and date of birth of the person to whom the opioid antidote was administered, if available.</w:t>
      </w: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B51">
        <w:rPr>
          <w:u w:color="000000" w:themeColor="text1"/>
        </w:rPr>
        <w:tab/>
      </w:r>
      <w:r w:rsidRPr="00714B51">
        <w:rPr>
          <w:u w:color="000000" w:themeColor="text1"/>
        </w:rPr>
        <w:tab/>
        <w:t>(2)</w:t>
      </w:r>
      <w:r w:rsidRPr="00714B51">
        <w:rPr>
          <w:u w:color="000000" w:themeColor="text1"/>
        </w:rPr>
        <w:tab/>
        <w:t xml:space="preserve">A first responder shall submit the information required pursuant to item (1) electronically or by facsimile to the Bureau of Emergency Services within thirty days of administration. </w:t>
      </w:r>
      <w:r w:rsidRPr="00714B51">
        <w:t>The Bureau of Emergency Medical Services shall transmit the information to the department’s Bureau of Drug Control.</w:t>
      </w: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B51">
        <w:rPr>
          <w:u w:color="000000" w:themeColor="text1"/>
        </w:rPr>
        <w:tab/>
      </w:r>
      <w:r w:rsidRPr="00714B51">
        <w:rPr>
          <w:u w:color="000000" w:themeColor="text1"/>
        </w:rPr>
        <w:tab/>
        <w:t>(3)(a)</w:t>
      </w:r>
      <w:r w:rsidRPr="00714B51">
        <w:rPr>
          <w:u w:color="000000" w:themeColor="text1"/>
        </w:rPr>
        <w:tab/>
        <w:t xml:space="preserve">If a first responder submits the name, address, and date of birth of a person to whom an opioid antidote was administered, </w:t>
      </w:r>
      <w:r w:rsidRPr="00714B51">
        <w:rPr>
          <w:u w:color="000000" w:themeColor="text1"/>
        </w:rPr>
        <w:lastRenderedPageBreak/>
        <w:t>Drug Control shall verify whether any prescription history of the person appears in the prescription monitoring program and, if prescription history exists, shall document for review by a practitioner or an authorized delegate the date on which the opioid antidote was administered to the person.</w:t>
      </w: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B51">
        <w:rPr>
          <w:u w:color="000000" w:themeColor="text1"/>
        </w:rPr>
        <w:tab/>
      </w:r>
      <w:r w:rsidRPr="00714B51">
        <w:rPr>
          <w:u w:color="000000" w:themeColor="text1"/>
        </w:rPr>
        <w:tab/>
      </w:r>
      <w:r w:rsidRPr="00714B51">
        <w:rPr>
          <w:u w:color="000000" w:themeColor="text1"/>
        </w:rPr>
        <w:tab/>
        <w:t>(b)</w:t>
      </w:r>
      <w:r w:rsidRPr="00714B51">
        <w:rPr>
          <w:u w:color="000000" w:themeColor="text1"/>
        </w:rPr>
        <w:tab/>
        <w:t>Drug Control also shall maintain data on the administering of opioid antidotes by first responders including, but not limited to, the frequency with which first responders administer opioid antidotes by geographic location, first responder, and dispenser.”</w:t>
      </w:r>
    </w:p>
    <w:p w:rsidR="002B372E"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B372E"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B51">
        <w:rPr>
          <w:u w:color="000000" w:themeColor="text1"/>
        </w:rPr>
        <w:t>SECTION</w:t>
      </w:r>
      <w:r w:rsidRPr="00714B51">
        <w:rPr>
          <w:u w:color="000000" w:themeColor="text1"/>
        </w:rPr>
        <w:tab/>
        <w:t>3.</w:t>
      </w:r>
      <w:r w:rsidRPr="00714B51">
        <w:rPr>
          <w:u w:color="000000" w:themeColor="text1"/>
        </w:rPr>
        <w:tab/>
        <w:t>Section 44</w:t>
      </w:r>
      <w:r w:rsidRPr="00714B51">
        <w:rPr>
          <w:u w:color="000000" w:themeColor="text1"/>
        </w:rPr>
        <w:noBreakHyphen/>
        <w:t>53</w:t>
      </w:r>
      <w:r w:rsidRPr="00714B51">
        <w:rPr>
          <w:u w:color="000000" w:themeColor="text1"/>
        </w:rPr>
        <w:noBreakHyphen/>
        <w:t>1640(A) of the 1976 Code is amended to read:</w:t>
      </w: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4B51">
        <w:tab/>
        <w:t>“</w:t>
      </w:r>
      <w:r w:rsidRPr="00714B51">
        <w:rPr>
          <w:u w:color="000000" w:themeColor="text1"/>
        </w:rPr>
        <w:t>(A)</w:t>
      </w:r>
      <w:r w:rsidRPr="00714B51">
        <w:rPr>
          <w:u w:color="000000" w:themeColor="text1"/>
        </w:rPr>
        <w:tab/>
        <w:t xml:space="preserve">The Department of Health and Environmental Control, Bureau of Drug Control shall establish and maintain a program to monitor the prescribing and dispensing of all Schedule II, III, and IV controlled substances by professionals licensed to prescribe or dispense these substances in this State </w:t>
      </w:r>
      <w:r w:rsidRPr="00714B51">
        <w:rPr>
          <w:u w:val="single" w:color="000000" w:themeColor="text1"/>
        </w:rPr>
        <w:t>and the administering of</w:t>
      </w:r>
      <w:r w:rsidRPr="00714B51">
        <w:rPr>
          <w:u w:color="000000" w:themeColor="text1"/>
        </w:rPr>
        <w:t xml:space="preserve"> </w:t>
      </w:r>
      <w:r w:rsidRPr="00714B51">
        <w:rPr>
          <w:u w:val="single" w:color="000000" w:themeColor="text1"/>
        </w:rPr>
        <w:t>opioid antidotes pursuant to Sections 44</w:t>
      </w:r>
      <w:r w:rsidRPr="00714B51">
        <w:rPr>
          <w:u w:val="single" w:color="000000" w:themeColor="text1"/>
        </w:rPr>
        <w:noBreakHyphen/>
        <w:t>130</w:t>
      </w:r>
      <w:r w:rsidRPr="00714B51">
        <w:rPr>
          <w:u w:val="single" w:color="000000" w:themeColor="text1"/>
        </w:rPr>
        <w:noBreakHyphen/>
        <w:t>60 and 44</w:t>
      </w:r>
      <w:r w:rsidRPr="00714B51">
        <w:rPr>
          <w:u w:val="single" w:color="000000" w:themeColor="text1"/>
        </w:rPr>
        <w:noBreakHyphen/>
        <w:t>130</w:t>
      </w:r>
      <w:r w:rsidRPr="00714B51">
        <w:rPr>
          <w:u w:val="single" w:color="000000" w:themeColor="text1"/>
        </w:rPr>
        <w:noBreakHyphen/>
        <w:t>80</w:t>
      </w:r>
      <w:r w:rsidRPr="00714B51">
        <w:rPr>
          <w:u w:color="000000" w:themeColor="text1"/>
        </w:rPr>
        <w:t>.</w:t>
      </w:r>
      <w:r w:rsidRPr="00714B51">
        <w:t>”</w:t>
      </w:r>
    </w:p>
    <w:p w:rsidR="002B372E"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372E"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B51">
        <w:t>SECTION</w:t>
      </w:r>
      <w:r w:rsidRPr="00714B51">
        <w:tab/>
        <w:t>4.</w:t>
      </w:r>
      <w:r w:rsidRPr="00714B51">
        <w:tab/>
      </w:r>
      <w:r w:rsidRPr="00714B51">
        <w:rPr>
          <w:u w:color="000000" w:themeColor="text1"/>
        </w:rPr>
        <w:t>Section 44</w:t>
      </w:r>
      <w:r w:rsidRPr="00714B51">
        <w:rPr>
          <w:u w:color="000000" w:themeColor="text1"/>
        </w:rPr>
        <w:noBreakHyphen/>
        <w:t>53</w:t>
      </w:r>
      <w:r w:rsidRPr="00714B51">
        <w:rPr>
          <w:u w:color="000000" w:themeColor="text1"/>
        </w:rPr>
        <w:noBreakHyphen/>
        <w:t>1645(A) of the 1976 Code is amended to read:</w:t>
      </w: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4B51">
        <w:tab/>
        <w:t>“(A)</w:t>
      </w:r>
      <w:r w:rsidRPr="00714B51">
        <w:tab/>
      </w:r>
      <w:r w:rsidRPr="00714B51">
        <w:rPr>
          <w:u w:color="000000" w:themeColor="text1"/>
        </w:rPr>
        <w:t xml:space="preserve">A practitioner, or the practitioner’s authorized delegate, shall review a patient’s controlled substance prescription history </w:t>
      </w:r>
      <w:r w:rsidRPr="00714B51">
        <w:rPr>
          <w:u w:val="single" w:color="000000" w:themeColor="text1"/>
        </w:rPr>
        <w:t>and</w:t>
      </w:r>
      <w:r w:rsidRPr="00714B51">
        <w:rPr>
          <w:u w:color="000000" w:themeColor="text1"/>
        </w:rPr>
        <w:t xml:space="preserve"> </w:t>
      </w:r>
      <w:r w:rsidRPr="00714B51">
        <w:rPr>
          <w:u w:val="single" w:color="000000" w:themeColor="text1"/>
        </w:rPr>
        <w:t>history of the administering of an opioid antidote to the patient pursuant to Section 44</w:t>
      </w:r>
      <w:r w:rsidRPr="00714B51">
        <w:rPr>
          <w:u w:val="single" w:color="000000" w:themeColor="text1"/>
        </w:rPr>
        <w:noBreakHyphen/>
        <w:t>130</w:t>
      </w:r>
      <w:r w:rsidRPr="00714B51">
        <w:rPr>
          <w:u w:val="single" w:color="000000" w:themeColor="text1"/>
        </w:rPr>
        <w:noBreakHyphen/>
        <w:t>60 or 44</w:t>
      </w:r>
      <w:r w:rsidRPr="00714B51">
        <w:rPr>
          <w:u w:val="single" w:color="000000" w:themeColor="text1"/>
        </w:rPr>
        <w:noBreakHyphen/>
        <w:t>130</w:t>
      </w:r>
      <w:r w:rsidRPr="00714B51">
        <w:rPr>
          <w:u w:val="single" w:color="000000" w:themeColor="text1"/>
        </w:rPr>
        <w:noBreakHyphen/>
        <w:t>80</w:t>
      </w:r>
      <w:r w:rsidRPr="00714B51">
        <w:rPr>
          <w:u w:color="000000" w:themeColor="text1"/>
        </w:rPr>
        <w:t xml:space="preserve">, as maintained in the prescription monitoring program, before the practitioner issues a prescription for a Schedule II controlled substance. If an authorized delegate reviews a patient’s controlled substance prescription history </w:t>
      </w:r>
      <w:r w:rsidRPr="00714B51">
        <w:rPr>
          <w:u w:val="single" w:color="000000" w:themeColor="text1"/>
        </w:rPr>
        <w:t>and history of the administering of an opioid antidote to the patient as provided in this subsection</w:t>
      </w:r>
      <w:r w:rsidRPr="00714B51">
        <w:rPr>
          <w:u w:color="000000" w:themeColor="text1"/>
        </w:rPr>
        <w:t xml:space="preserve">, the practitioner must consult with the authorized delegate regarding the prescription </w:t>
      </w:r>
      <w:r w:rsidRPr="00714B51">
        <w:rPr>
          <w:u w:val="single" w:color="000000" w:themeColor="text1"/>
        </w:rPr>
        <w:t>and opioid antidote administering</w:t>
      </w:r>
      <w:r w:rsidRPr="00714B51">
        <w:rPr>
          <w:u w:color="000000" w:themeColor="text1"/>
        </w:rPr>
        <w:t xml:space="preserve"> history before issuing a prescription for a Schedule II controlled substance. The consultation must be documented in the patient’s medical record.”</w:t>
      </w:r>
    </w:p>
    <w:p w:rsidR="002B372E"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10868"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714B51">
        <w:t>SECTION</w:t>
      </w:r>
      <w:r w:rsidRPr="00714B51">
        <w:tab/>
        <w:t>5.</w:t>
      </w:r>
      <w:r w:rsidRPr="00714B51">
        <w:tab/>
        <w:t>This act takes effect one year after</w:t>
      </w:r>
      <w:r>
        <w:t xml:space="preserve"> approval by the Governor.</w:t>
      </w:r>
      <w:r w:rsidR="00434151">
        <w:noBreakHyphen/>
      </w:r>
      <w:r w:rsidR="00434151">
        <w:noBreakHyphen/>
      </w:r>
      <w:r w:rsidR="00434151">
        <w:noBreakHyphen/>
      </w:r>
      <w:r w:rsidR="00434151">
        <w:noBreakHyphen/>
      </w:r>
      <w:r w:rsidR="0010776B">
        <w:t>XX</w:t>
      </w:r>
      <w:r w:rsidR="00434151">
        <w:noBreakHyphen/>
      </w:r>
      <w:r w:rsidR="00434151">
        <w:noBreakHyphen/>
      </w:r>
      <w:r w:rsidR="00434151">
        <w:noBreakHyphen/>
      </w:r>
      <w:r w:rsidR="00434151">
        <w:noBreakHyphen/>
      </w:r>
    </w:p>
    <w:p w:rsidR="008C4AFA" w:rsidRDefault="008C4AFA" w:rsidP="008C4AFA">
      <w:pPr>
        <w:suppressAutoHyphens/>
      </w:pPr>
    </w:p>
    <w:sectPr w:rsidR="008C4AFA" w:rsidSect="00312D4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0950" w:rsidRDefault="002E0950" w:rsidP="009F0C77">
      <w:r>
        <w:separator/>
      </w:r>
    </w:p>
  </w:endnote>
  <w:endnote w:type="continuationSeparator" w:id="0">
    <w:p w:rsidR="002E0950" w:rsidRDefault="002E09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CD12C8E-9E7B-4214-BF95-4130549323D7}"/>
    <w:embedBold r:id="rId2" w:fontKey="{205163DF-A422-4E75-A7DB-5D1F063380A3}"/>
  </w:font>
  <w:font w:name="Calibri">
    <w:panose1 w:val="020F0502020204030204"/>
    <w:charset w:val="00"/>
    <w:family w:val="swiss"/>
    <w:pitch w:val="variable"/>
    <w:sig w:usb0="E0002AFF" w:usb1="C000247B" w:usb2="00000009" w:usb3="00000000" w:csb0="000001FF" w:csb1="00000000"/>
    <w:embedRegular r:id="rId3" w:fontKey="{73533273-461F-43CD-9555-C8BF7B9D5ABD}"/>
  </w:font>
  <w:font w:name="Segoe UI">
    <w:panose1 w:val="020B0502040204020203"/>
    <w:charset w:val="00"/>
    <w:family w:val="swiss"/>
    <w:pitch w:val="variable"/>
    <w:sig w:usb0="E4002EFF" w:usb1="C000E47F" w:usb2="00000009" w:usb3="00000000" w:csb0="000001FF" w:csb1="00000000"/>
    <w:embedRegular r:id="rId4" w:fontKey="{159BBE16-5302-43A8-8BFC-FDD653049A59}"/>
  </w:font>
  <w:font w:name="Cambria">
    <w:panose1 w:val="02040503050406030204"/>
    <w:charset w:val="00"/>
    <w:family w:val="roman"/>
    <w:pitch w:val="variable"/>
    <w:sig w:usb0="E00006FF" w:usb1="420024FF" w:usb2="02000000" w:usb3="00000000" w:csb0="0000019F" w:csb1="00000000"/>
    <w:embedRegular r:id="rId5" w:fontKey="{463DAA23-61C5-4BE8-8526-238C08760A21}"/>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0868" w:rsidRPr="00027E0E" w:rsidRDefault="00027E0E" w:rsidP="00027E0E">
    <w:pPr>
      <w:pStyle w:val="Footer"/>
      <w:tabs>
        <w:tab w:val="clear" w:pos="4680"/>
        <w:tab w:val="clear" w:pos="9360"/>
        <w:tab w:val="center" w:pos="2995"/>
      </w:tabs>
      <w:spacing w:before="120"/>
    </w:pPr>
    <w:r>
      <w:t>[3728</w:t>
    </w:r>
    <w:r w:rsidR="00312D4F">
      <w:t>-</w:t>
    </w:r>
    <w:r w:rsidR="00312D4F">
      <w:fldChar w:fldCharType="begin"/>
    </w:r>
    <w:r w:rsidR="00312D4F">
      <w:instrText xml:space="preserve"> PAGE  \* MERGEFORMAT </w:instrText>
    </w:r>
    <w:r w:rsidR="00312D4F">
      <w:fldChar w:fldCharType="separate"/>
    </w:r>
    <w:r w:rsidR="008C4AFA">
      <w:rPr>
        <w:noProof/>
      </w:rPr>
      <w:t>1</w:t>
    </w:r>
    <w:r w:rsidR="00312D4F">
      <w:fldChar w:fldCharType="end"/>
    </w:r>
    <w:r w:rsidR="00312D4F">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2D4F" w:rsidRPr="00027E0E" w:rsidRDefault="00312D4F" w:rsidP="00027E0E">
    <w:pPr>
      <w:pStyle w:val="Footer"/>
      <w:tabs>
        <w:tab w:val="clear" w:pos="4680"/>
        <w:tab w:val="clear" w:pos="9360"/>
        <w:tab w:val="center" w:pos="2995"/>
      </w:tabs>
      <w:spacing w:before="120"/>
    </w:pPr>
    <w:r>
      <w:t>[3728]</w:t>
    </w:r>
    <w:r>
      <w:tab/>
    </w:r>
    <w:r>
      <w:fldChar w:fldCharType="begin"/>
    </w:r>
    <w:r>
      <w:instrText xml:space="preserve"> PAGE  \* MERGEFORMAT </w:instrText>
    </w:r>
    <w:r>
      <w:fldChar w:fldCharType="separate"/>
    </w:r>
    <w:r w:rsidR="008C4AFA">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0950" w:rsidRDefault="002E0950" w:rsidP="009F0C77">
      <w:r>
        <w:separator/>
      </w:r>
    </w:p>
  </w:footnote>
  <w:footnote w:type="continuationSeparator" w:id="0">
    <w:p w:rsidR="002E0950" w:rsidRDefault="002E095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49VR19"/>
    <w:docVar w:name="CoverBillType" w:val="b"/>
    <w:docVar w:name="DocPath" w:val="L:\Council\bills\CC\15449VR19.DOCX"/>
    <w:docVar w:name="dvBillNumber" w:val="3728"/>
    <w:docVar w:name="dvBillNumberPrefix" w:val="H. "/>
    <w:docVar w:name="dvOriginalBody" w:val="House"/>
    <w:docVar w:name="dvSteno" w:val="CC"/>
    <w:docVar w:name="NameofBody" w:val="h"/>
    <w:docVar w:name="vGroup2" w:val="Council"/>
  </w:docVars>
  <w:rsids>
    <w:rsidRoot w:val="002E0950"/>
    <w:rsid w:val="0000364B"/>
    <w:rsid w:val="00011869"/>
    <w:rsid w:val="00015CD6"/>
    <w:rsid w:val="00027E0E"/>
    <w:rsid w:val="00077F57"/>
    <w:rsid w:val="000E0100"/>
    <w:rsid w:val="000E1785"/>
    <w:rsid w:val="000F40FA"/>
    <w:rsid w:val="001035F1"/>
    <w:rsid w:val="0010776B"/>
    <w:rsid w:val="00133E66"/>
    <w:rsid w:val="001435A3"/>
    <w:rsid w:val="00146ED3"/>
    <w:rsid w:val="00151044"/>
    <w:rsid w:val="001B3DA8"/>
    <w:rsid w:val="001D08F2"/>
    <w:rsid w:val="001D3A58"/>
    <w:rsid w:val="001D525B"/>
    <w:rsid w:val="001D7F4F"/>
    <w:rsid w:val="00205238"/>
    <w:rsid w:val="002321B6"/>
    <w:rsid w:val="00250967"/>
    <w:rsid w:val="002543C8"/>
    <w:rsid w:val="0025541D"/>
    <w:rsid w:val="00284AAE"/>
    <w:rsid w:val="002B372E"/>
    <w:rsid w:val="002E0950"/>
    <w:rsid w:val="002E5912"/>
    <w:rsid w:val="00301B21"/>
    <w:rsid w:val="00312D4F"/>
    <w:rsid w:val="00325348"/>
    <w:rsid w:val="003262C9"/>
    <w:rsid w:val="0032732C"/>
    <w:rsid w:val="00336AD0"/>
    <w:rsid w:val="0037079A"/>
    <w:rsid w:val="003C4DAB"/>
    <w:rsid w:val="003D01E8"/>
    <w:rsid w:val="003E5288"/>
    <w:rsid w:val="003F6D79"/>
    <w:rsid w:val="00414F32"/>
    <w:rsid w:val="0041760A"/>
    <w:rsid w:val="00417C01"/>
    <w:rsid w:val="00431A6F"/>
    <w:rsid w:val="00434151"/>
    <w:rsid w:val="004403BD"/>
    <w:rsid w:val="00461441"/>
    <w:rsid w:val="004809EE"/>
    <w:rsid w:val="004E7D54"/>
    <w:rsid w:val="005273C6"/>
    <w:rsid w:val="00530A69"/>
    <w:rsid w:val="00545593"/>
    <w:rsid w:val="00546A52"/>
    <w:rsid w:val="00556EBF"/>
    <w:rsid w:val="005660E5"/>
    <w:rsid w:val="00577C6C"/>
    <w:rsid w:val="005A62FE"/>
    <w:rsid w:val="005C2FE2"/>
    <w:rsid w:val="005D4E26"/>
    <w:rsid w:val="005E2BC9"/>
    <w:rsid w:val="00605102"/>
    <w:rsid w:val="006215AA"/>
    <w:rsid w:val="006913C9"/>
    <w:rsid w:val="0069470D"/>
    <w:rsid w:val="006D58AA"/>
    <w:rsid w:val="006E4188"/>
    <w:rsid w:val="00710868"/>
    <w:rsid w:val="00734F00"/>
    <w:rsid w:val="007A70AE"/>
    <w:rsid w:val="007F25B1"/>
    <w:rsid w:val="008362E8"/>
    <w:rsid w:val="0085786E"/>
    <w:rsid w:val="00862FAC"/>
    <w:rsid w:val="00881745"/>
    <w:rsid w:val="008A1768"/>
    <w:rsid w:val="008A489F"/>
    <w:rsid w:val="008C4AFA"/>
    <w:rsid w:val="008F0F33"/>
    <w:rsid w:val="008F4429"/>
    <w:rsid w:val="0094021A"/>
    <w:rsid w:val="00974C42"/>
    <w:rsid w:val="009B44AF"/>
    <w:rsid w:val="009C6A0B"/>
    <w:rsid w:val="009F0C77"/>
    <w:rsid w:val="009F4DD1"/>
    <w:rsid w:val="00A02543"/>
    <w:rsid w:val="00A20DA9"/>
    <w:rsid w:val="00A35CC3"/>
    <w:rsid w:val="00A37137"/>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33F57"/>
    <w:rsid w:val="00E41911"/>
    <w:rsid w:val="00E44B57"/>
    <w:rsid w:val="00E73DA0"/>
    <w:rsid w:val="00E92EEF"/>
    <w:rsid w:val="00EA31D1"/>
    <w:rsid w:val="00EF2368"/>
    <w:rsid w:val="00F1403A"/>
    <w:rsid w:val="00F24442"/>
    <w:rsid w:val="00F50AE3"/>
    <w:rsid w:val="00F51105"/>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9352A5-092C-432F-B5B7-B25D360D9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A31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31D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5D1740-2C3E-4054-A3A6-17B8AE32A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795267C0.dotm</Template>
  <TotalTime>0</TotalTime>
  <Pages>5</Pages>
  <Words>1192</Words>
  <Characters>6684</Characters>
  <Application>Microsoft Office Word</Application>
  <DocSecurity>0</DocSecurity>
  <Lines>184</Lines>
  <Paragraphs>38</Paragraphs>
  <ScaleCrop>false</ScaleCrop>
  <HeadingPairs>
    <vt:vector size="2" baseType="variant">
      <vt:variant>
        <vt:lpstr>Title</vt:lpstr>
      </vt:variant>
      <vt:variant>
        <vt:i4>1</vt:i4>
      </vt:variant>
    </vt:vector>
  </HeadingPairs>
  <TitlesOfParts>
    <vt:vector size="1" baseType="lpstr">
      <vt:lpstr>2019-2020 Bill 3728: Subject not yet available - South Carolina Legislature Online</vt:lpstr>
    </vt:vector>
  </TitlesOfParts>
  <Company>LPITS</Company>
  <LinksUpToDate>false</LinksUpToDate>
  <CharactersWithSpaces>7886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3728 Text of Previous Version (Apr. 9, 2019) - South Carolina Legislature Online</dc:title>
  <dc:creator>Chris Charlton</dc:creator>
  <cp:lastModifiedBy>Miriam Cook</cp:lastModifiedBy>
  <cp:revision>2</cp:revision>
  <cp:lastPrinted>2019-04-10T01:35:00Z</cp:lastPrinted>
  <dcterms:created xsi:type="dcterms:W3CDTF">2019-04-10T01:38:00Z</dcterms:created>
  <dcterms:modified xsi:type="dcterms:W3CDTF">2019-04-10T01:38:00Z</dcterms:modified>
</cp:coreProperties>
</file>