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4935E7"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851BBE" w:rsidRDefault="004935E7"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851BBE">
        <w:t>, 2019</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right" w:pos="5933"/>
        </w:tabs>
        <w:suppressAutoHyphens/>
      </w:pPr>
      <w:r>
        <w:tab/>
      </w:r>
      <w:r>
        <w:rPr>
          <w:b/>
          <w:sz w:val="36"/>
        </w:rPr>
        <w:t>H. 3728</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Gilliard, Govan and B. Newton</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4935E7" w:rsidP="00F568DF">
      <w:pPr>
        <w:tabs>
          <w:tab w:val="right" w:pos="5933"/>
        </w:tabs>
        <w:suppressAutoHyphens/>
      </w:pPr>
      <w:r>
        <w:t>S. Printed 5/8</w:t>
      </w:r>
      <w:r w:rsidR="00851BBE">
        <w:t>/19--S.</w:t>
      </w:r>
      <w:r w:rsidR="00F568DF">
        <w:tab/>
        <w:t>[SEC 5/9/19 1:34 PM]</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BBE"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2B372E" w:rsidRDefault="00493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35E7" w:rsidRDefault="00493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lastRenderedPageBreak/>
        <w:t xml:space="preserve">Whereas, the South Carolina General Assembly is committed to combatting the opioid epidemic occurring within this State; and </w:t>
      </w:r>
    </w:p>
    <w:p w:rsidR="001B3DA8"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 xml:space="preserve">Whereas, the South Carolina General Assembly has enacted and is working to enact legislation aimed at stemming the misuse of opioids in South Carolina;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 xml:space="preserve">Whereas, the purpose of this legislation is to provide data to health care professionals treating patients who have been diagnosed with an opioid overdose and received an antidote in response to that overdose;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Be it enacted by the General Assembly of the State of South Carolina:</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1.</w:t>
      </w:r>
      <w:r w:rsidRPr="00714B51">
        <w:tab/>
      </w:r>
      <w:r w:rsidRPr="00714B51">
        <w:rPr>
          <w:u w:color="000000" w:themeColor="text1"/>
        </w:rPr>
        <w:t>Chapter 130, Title 44 of the 1976 Code is amended by adding:</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lastRenderedPageBreak/>
        <w:tab/>
      </w:r>
      <w:r w:rsidRPr="00714B51">
        <w:rPr>
          <w:u w:color="000000" w:themeColor="text1"/>
        </w:rPr>
        <w:tab/>
        <w:t>(1)</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name, address, and date of birth of the person to whom the opioid antidote was administered.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714B51">
        <w:t>as required pursuant to subsection (A)</w:t>
      </w:r>
      <w:r w:rsidRPr="00714B51">
        <w:rPr>
          <w:u w:color="000000" w:themeColor="text1"/>
        </w:rPr>
        <w:t xml:space="preserve"> and other health care facilities by geographic location.”</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 xml:space="preserve">If a first responder submits the name, address, and date of birth of a person to whom an opioid antidote was administered, Drug Control shall verify whether any prescription history of the person appears in the prescription monitoring program and, if </w:t>
      </w:r>
      <w:r w:rsidRPr="00714B51">
        <w:rPr>
          <w:u w:color="000000" w:themeColor="text1"/>
        </w:rPr>
        <w:lastRenderedPageBreak/>
        <w:t xml:space="preserve">prescription history exists, shall document for review by a practitioner or an authorized delegate the date on which the opioid </w:t>
      </w:r>
      <w:r w:rsidR="004935E7" w:rsidRPr="00714B51">
        <w:rPr>
          <w:u w:color="000000" w:themeColor="text1"/>
        </w:rPr>
        <w:t>antidote was administered to the person.</w:t>
      </w:r>
      <w:r w:rsidR="004935E7">
        <w:rPr>
          <w:u w:color="000000" w:themeColor="text1"/>
        </w:rPr>
        <w:t xml:space="preserve"> If no history exists, then Drug Control shall confirm that the antidote was administered in response to a verified opioid overdose. If the antidote was administered in error, then Drug Control shall document the error.</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history of the administering of an opioid antidote to the patient 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Pr>
          <w:snapToGrid w:val="0"/>
        </w:rPr>
        <w:t>SECTION</w:t>
      </w:r>
      <w:r>
        <w:rPr>
          <w:snapToGrid w:val="0"/>
        </w:rPr>
        <w:tab/>
        <w:t>5</w:t>
      </w:r>
      <w:r w:rsidRPr="00D35B8A">
        <w:rPr>
          <w:snapToGrid w:val="0"/>
        </w:rPr>
        <w:t>.</w:t>
      </w:r>
      <w:r w:rsidRPr="00D35B8A">
        <w:rPr>
          <w:snapToGrid w:val="0"/>
        </w:rPr>
        <w:tab/>
        <w:t>Section 44-53-360(a), (b), and (d) of the 1976 Code is amended to read: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rPr>
          <w:snapToGrid w:val="0"/>
        </w:rPr>
        <w:tab/>
        <w:t>“Section 44-53-360.</w:t>
      </w:r>
      <w:r w:rsidRPr="00D35B8A">
        <w:rPr>
          <w:snapToGrid w:val="0"/>
        </w:rPr>
        <w:tab/>
      </w:r>
      <w:r w:rsidRPr="00D35B8A">
        <w:t>(a)</w:t>
      </w:r>
      <w:r w:rsidRPr="00D35B8A">
        <w:tab/>
        <w:t xml:space="preserve">Except when dispensed directly by a practitioner, other than a pharmacist, to an ultimate user, or in </w:t>
      </w:r>
      <w:r w:rsidRPr="00D35B8A">
        <w:lastRenderedPageBreak/>
        <w:t xml:space="preserve">emergency situations as prescribed by the department by regulation, no controlled substance included in Schedule II may be dispensed without the written </w:t>
      </w:r>
      <w:r w:rsidRPr="00D35B8A">
        <w:rPr>
          <w:u w:val="single"/>
        </w:rPr>
        <w:t>or electronic</w:t>
      </w:r>
      <w:r w:rsidRPr="00D35B8A">
        <w:t xml:space="preserve"> prescription of a practitioner. Prescriptions shall be retained in conformity with the requirements of Section 44</w:t>
      </w:r>
      <w:r w:rsidRPr="00D35B8A">
        <w:noBreakHyphen/>
        <w:t>53</w:t>
      </w:r>
      <w:r w:rsidRPr="00D35B8A">
        <w:noBreakHyphen/>
        <w:t>340. No prescription for a controlled substance in Schedule II may be refilled.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tab/>
        <w:t>(b)</w:t>
      </w:r>
      <w:r w:rsidRPr="00D35B8A">
        <w:tab/>
        <w:t xml:space="preserve">A pharmacist may dispense a controlled substance included in Schedule III, IV, or V pursuant to either a written </w:t>
      </w:r>
      <w:r w:rsidRPr="00D35B8A">
        <w:rPr>
          <w:u w:val="single"/>
        </w:rPr>
        <w:t>or electronic</w:t>
      </w:r>
      <w:r w:rsidRPr="00D35B8A">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D35B8A">
        <w:tab/>
        <w:t>(d)</w:t>
      </w:r>
      <w:r w:rsidRPr="00D35B8A">
        <w:tab/>
        <w:t xml:space="preserve">Unless specifically indicated in writing on the face of the prescription </w:t>
      </w:r>
      <w:r w:rsidRPr="00D35B8A">
        <w:rPr>
          <w:u w:val="single"/>
        </w:rPr>
        <w:t>or noted in the electronic prescription</w:t>
      </w:r>
      <w:r w:rsidRPr="00D35B8A">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t>SECTION</w:t>
      </w:r>
      <w:r>
        <w:tab/>
        <w:t>6</w:t>
      </w:r>
      <w:r w:rsidRPr="00D35B8A">
        <w:t>.</w:t>
      </w:r>
      <w:r w:rsidRPr="00D35B8A">
        <w:tab/>
      </w:r>
      <w:r w:rsidRPr="00D35B8A">
        <w:rPr>
          <w:u w:color="000000" w:themeColor="text1"/>
        </w:rPr>
        <w:t>Section 44</w:t>
      </w:r>
      <w:r w:rsidRPr="00D35B8A">
        <w:rPr>
          <w:u w:color="000000" w:themeColor="text1"/>
        </w:rPr>
        <w:noBreakHyphen/>
        <w:t>53</w:t>
      </w:r>
      <w:r w:rsidRPr="00D35B8A">
        <w:rPr>
          <w:u w:color="000000" w:themeColor="text1"/>
        </w:rPr>
        <w:noBreakHyphen/>
        <w:t>360(j) of the 1976 Code is amended by adding an appropriately numbered new item to read: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t>“(</w:t>
      </w:r>
      <w:r w:rsidRPr="00D35B8A">
        <w:rPr>
          <w:u w:color="000000" w:themeColor="text1"/>
        </w:rPr>
        <w:tab/>
        <w:t>)(A)</w:t>
      </w:r>
      <w:r w:rsidRPr="00D35B8A">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(i)</w:t>
      </w:r>
      <w:r w:rsidRPr="00D35B8A">
        <w:rPr>
          <w:u w:color="000000" w:themeColor="text1"/>
        </w:rPr>
        <w:tab/>
      </w:r>
      <w:r w:rsidRPr="00D35B8A">
        <w:rPr>
          <w:u w:color="000000" w:themeColor="text1"/>
        </w:rPr>
        <w:tab/>
        <w:t>a practitioner, other than a pharmacist, who dispenses directly to the ultimate user;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(ii)</w:t>
      </w:r>
      <w:r w:rsidRPr="00D35B8A">
        <w:rPr>
          <w:u w:color="000000" w:themeColor="text1"/>
        </w:rPr>
        <w:tab/>
        <w:t xml:space="preserve">a practitioner who orders a controlled substance included in Schedules II through V to be administered in a hospital, </w:t>
      </w:r>
      <w:r w:rsidRPr="00D35B8A">
        <w:rPr>
          <w:u w:color="000000" w:themeColor="text1"/>
        </w:rPr>
        <w:lastRenderedPageBreak/>
        <w:t>nursing home, hospice facility, outpatient dialysis facility, or residential care facility;</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D35B8A">
        <w:rPr>
          <w:color w:val="000000" w:themeColor="text1"/>
          <w:u w:color="000000" w:themeColor="text1"/>
        </w:rPr>
        <w:tab/>
      </w:r>
      <w:r w:rsidRPr="00D35B8A">
        <w:rPr>
          <w:color w:val="000000" w:themeColor="text1"/>
          <w:u w:color="000000" w:themeColor="text1"/>
        </w:rPr>
        <w:tab/>
      </w:r>
      <w:r w:rsidRPr="00D35B8A">
        <w:rPr>
          <w:color w:val="000000" w:themeColor="text1"/>
          <w:u w:color="000000" w:themeColor="text1"/>
        </w:rPr>
        <w:tab/>
        <w:t>(iii)</w:t>
      </w:r>
      <w:r w:rsidRPr="00D35B8A">
        <w:rPr>
          <w:color w:val="000000" w:themeColor="text1"/>
          <w:u w:color="000000" w:themeColor="text1"/>
        </w:rPr>
        <w:tab/>
        <w:t>a practitioner who experiences temporary technological or electrical failure or other extenuating technical circumstances that prevent a prescription from being transmitted electronically; however, the practitioner must document the reason for this exception in the patient’s medical record;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(iv)</w:t>
      </w:r>
      <w:r w:rsidRPr="00D35B8A">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(v)</w:t>
      </w:r>
      <w:r w:rsidRPr="00D35B8A">
        <w:rPr>
          <w:u w:color="000000" w:themeColor="text1"/>
        </w:rPr>
        <w:tab/>
        <w:t>a person licensed to practice veterinary medicine pursuant to Chapter 69, Title 40; or</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r>
      <w:r w:rsidRPr="00D35B8A">
        <w:rPr>
          <w:u w:color="000000" w:themeColor="text1"/>
        </w:rPr>
        <w:tab/>
        <w:t>(vi)</w:t>
      </w:r>
      <w:r w:rsidRPr="00D35B8A">
        <w:rPr>
          <w:u w:color="000000" w:themeColor="text1"/>
        </w:rPr>
        <w:tab/>
        <w:t>a practitioner who writes a prescription for a controlled substance included in Schedules II through V for a patient who is being discharged from a hospital, emergency department, or urgent care.</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t>(B)</w:t>
      </w:r>
      <w:r w:rsidRPr="00D35B8A">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4935E7" w:rsidRPr="00D35B8A"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35B8A">
        <w:rPr>
          <w:u w:color="000000" w:themeColor="text1"/>
        </w:rPr>
        <w:tab/>
      </w:r>
      <w:r w:rsidRPr="00D35B8A">
        <w:rPr>
          <w:u w:color="000000" w:themeColor="text1"/>
        </w:rPr>
        <w:tab/>
        <w:t>(C)</w:t>
      </w:r>
      <w:r w:rsidRPr="00D35B8A">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4935E7" w:rsidRDefault="004935E7" w:rsidP="0049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B8A">
        <w:rPr>
          <w:u w:color="000000" w:themeColor="text1"/>
        </w:rPr>
        <w:tab/>
      </w:r>
      <w:r w:rsidRPr="00D35B8A">
        <w:rPr>
          <w:u w:color="000000" w:themeColor="text1"/>
        </w:rPr>
        <w:tab/>
        <w:t>(D)</w:t>
      </w:r>
      <w:r w:rsidRPr="00D35B8A">
        <w:rPr>
          <w:u w:color="000000" w:themeColor="text1"/>
        </w:rPr>
        <w:tab/>
        <w:t>A dispenser is immune from any civil or criminal liability or disciplinary action from the State Board of Pharmacy for dispensing a prescription written by a prescriber that is in violation of this subsection.”</w:t>
      </w:r>
    </w:p>
    <w:p w:rsidR="004935E7" w:rsidRDefault="004935E7" w:rsidP="000C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1F2" w:rsidRDefault="004935E7" w:rsidP="000C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7.</w:t>
      </w:r>
      <w:r>
        <w:rPr>
          <w:snapToGrid w:val="0"/>
        </w:rPr>
        <w:tab/>
        <w:t>This act takes effect January 1, 2021.</w:t>
      </w:r>
    </w:p>
    <w:p w:rsidR="000D7B6B" w:rsidRDefault="00434151" w:rsidP="000D7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D7B6B"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9DFD7BD-B60E-45CF-8E84-DC1DB823127A}"/>
    <w:embedBold r:id="rId2" w:fontKey="{EE950B05-ED4D-49F5-9C3E-39DF46A72ABF}"/>
  </w:font>
  <w:font w:name="Calibri">
    <w:panose1 w:val="020F0502020204030204"/>
    <w:charset w:val="00"/>
    <w:family w:val="swiss"/>
    <w:pitch w:val="variable"/>
    <w:sig w:usb0="E0002AFF" w:usb1="C000247B" w:usb2="00000009" w:usb3="00000000" w:csb0="000001FF" w:csb1="00000000"/>
    <w:embedRegular r:id="rId3" w:fontKey="{813DC08B-A0CD-48ED-9C9F-6A3F42BB6A56}"/>
  </w:font>
  <w:font w:name="Segoe UI">
    <w:panose1 w:val="020B0502040204020203"/>
    <w:charset w:val="00"/>
    <w:family w:val="swiss"/>
    <w:pitch w:val="variable"/>
    <w:sig w:usb0="E4002EFF" w:usb1="C000E47F" w:usb2="00000009" w:usb3="00000000" w:csb0="000001FF" w:csb1="00000000"/>
    <w:embedRegular r:id="rId4" w:fontKey="{2AB64B36-114D-4AE1-A3E4-CD5E8DF52C0D}"/>
  </w:font>
  <w:font w:name="Cambria">
    <w:panose1 w:val="02040503050406030204"/>
    <w:charset w:val="00"/>
    <w:family w:val="roman"/>
    <w:pitch w:val="variable"/>
    <w:sig w:usb0="E00006FF" w:usb1="420024FF" w:usb2="02000000" w:usb3="00000000" w:csb0="0000019F" w:csb1="00000000"/>
    <w:embedRegular r:id="rId5" w:fontKey="{6BFF0284-FE7B-4342-BDCD-797E4C80F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0D7B6B">
      <w:rPr>
        <w:noProof/>
      </w:rPr>
      <w:t>1</w:t>
    </w:r>
    <w:r w:rsidR="00312D4F">
      <w:fldChar w:fldCharType="end"/>
    </w:r>
    <w:r w:rsidR="00312D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0D7B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C11F2"/>
    <w:rsid w:val="000D7B6B"/>
    <w:rsid w:val="000E0100"/>
    <w:rsid w:val="000E1785"/>
    <w:rsid w:val="000F40FA"/>
    <w:rsid w:val="001035F1"/>
    <w:rsid w:val="0010776B"/>
    <w:rsid w:val="00133E66"/>
    <w:rsid w:val="001435A3"/>
    <w:rsid w:val="00146ED3"/>
    <w:rsid w:val="00151044"/>
    <w:rsid w:val="001B3DA8"/>
    <w:rsid w:val="001D08F2"/>
    <w:rsid w:val="001D3A58"/>
    <w:rsid w:val="001D525B"/>
    <w:rsid w:val="001D7F4F"/>
    <w:rsid w:val="00205238"/>
    <w:rsid w:val="002321B6"/>
    <w:rsid w:val="00250967"/>
    <w:rsid w:val="002543C8"/>
    <w:rsid w:val="0025541D"/>
    <w:rsid w:val="00284AAE"/>
    <w:rsid w:val="002B372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935E7"/>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1BBE"/>
    <w:rsid w:val="0085786E"/>
    <w:rsid w:val="00862FAC"/>
    <w:rsid w:val="00881745"/>
    <w:rsid w:val="008A1768"/>
    <w:rsid w:val="008A489F"/>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568D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DCA9-5ACA-4CC9-B76F-104C37B8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7</Pages>
  <Words>1948</Words>
  <Characters>10815</Characters>
  <Application>Microsoft Office Word</Application>
  <DocSecurity>0</DocSecurity>
  <Lines>274</Lines>
  <Paragraphs>54</Paragraphs>
  <ScaleCrop>false</ScaleCrop>
  <HeadingPairs>
    <vt:vector size="2" baseType="variant">
      <vt:variant>
        <vt:lpstr>Title</vt:lpstr>
      </vt:variant>
      <vt:variant>
        <vt:i4>1</vt:i4>
      </vt:variant>
    </vt:vector>
  </HeadingPairs>
  <TitlesOfParts>
    <vt:vector size="1" baseType="lpstr">
      <vt:lpstr>2019-2020 Bill 3728: Subject not yet available - South Carolina Legislature Online</vt:lpstr>
    </vt:vector>
  </TitlesOfParts>
  <Company>LPITS</Company>
  <LinksUpToDate>false</LinksUpToDate>
  <CharactersWithSpaces>12779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(May 9, 2019) - South Carolina Legislature Online</dc:title>
  <dc:creator>Chris Charlton</dc:creator>
  <cp:lastModifiedBy>Lavarres Lynch</cp:lastModifiedBy>
  <cp:revision>2</cp:revision>
  <cp:lastPrinted>2019-04-10T01:35:00Z</cp:lastPrinted>
  <dcterms:created xsi:type="dcterms:W3CDTF">2019-05-09T17:35:00Z</dcterms:created>
  <dcterms:modified xsi:type="dcterms:W3CDTF">2019-05-09T17:35:00Z</dcterms:modified>
</cp:coreProperties>
</file>