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Pr="00F13499" w:rsidRDefault="00F13499" w:rsidP="00F13499">
      <w:pPr>
        <w:tabs>
          <w:tab w:val="right" w:pos="5933"/>
        </w:tabs>
        <w:suppressAutoHyphens/>
      </w:pPr>
      <w:r>
        <w:tab/>
      </w:r>
      <w:r>
        <w:rPr>
          <w:b/>
          <w:sz w:val="36"/>
        </w:rPr>
        <w:t>H. 3754</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19B7">
        <w:t>Reps. Sandifer, Thayer, Clemmons and Rutherford</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3754) to amend Section 27</w:t>
      </w:r>
      <w:r>
        <w:noBreakHyphen/>
        <w:t>32</w:t>
      </w:r>
      <w:r>
        <w:noBreakHyphen/>
        <w:t>10, Code of Laws of South Carolina, 1976, relating to definitions in regard to vacation time sharing plans, etc., respectfully</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Amend the bill, as and if amended, by  adding a new section appropriately numbered to read:</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w:t>
      </w:r>
      <w:r w:rsidRPr="00F434F0">
        <w:tab/>
        <w:t>SECTION</w:t>
      </w:r>
      <w:r w:rsidRPr="00F434F0">
        <w:tab/>
        <w:t>__.</w:t>
      </w:r>
      <w:r w:rsidRPr="00F434F0">
        <w:tab/>
        <w:t>Section 27-30-120(</w:t>
      </w:r>
      <w:bookmarkStart w:id="0" w:name="temp"/>
      <w:bookmarkEnd w:id="0"/>
      <w:r w:rsidRPr="00F434F0">
        <w:t>6) of the 1976 Code, as added by Act 245 of 2018, is amended to read:</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34F0">
        <w:tab/>
        <w:t>“(6)</w:t>
      </w:r>
      <w:r w:rsidRPr="00F434F0">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w:t>
      </w:r>
      <w:r w:rsidRPr="00F434F0">
        <w:rPr>
          <w:strike/>
        </w:rPr>
        <w:t>only</w:t>
      </w:r>
      <w:r w:rsidRPr="00F434F0">
        <w:t xml:space="preserve"> to the provisions of Chapter 32.</w:t>
      </w:r>
      <w:r w:rsidRPr="00F434F0">
        <w:tab/>
      </w:r>
      <w:r w:rsidRPr="00F434F0">
        <w:tab/>
        <w:t>/</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Renumber sections to conform.</w:t>
      </w:r>
    </w:p>
    <w:p w:rsid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Amend title to conform.</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499" w:rsidRDefault="00F13499" w:rsidP="005D7B6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WILLIAM E. SANDIFER III for Committee.</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3499"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6A" w:rsidRPr="00134827" w:rsidRDefault="007F4E00"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476A" w:rsidRPr="00134827">
        <w:rPr>
          <w:color w:val="000000" w:themeColor="text1"/>
          <w:u w:color="000000" w:themeColor="text1"/>
        </w:rPr>
        <w:t>Section 27</w:t>
      </w:r>
      <w:r w:rsidR="005E65F5">
        <w:rPr>
          <w:color w:val="000000" w:themeColor="text1"/>
          <w:u w:color="000000" w:themeColor="text1"/>
        </w:rPr>
        <w:noBreakHyphen/>
      </w:r>
      <w:r w:rsidR="007C476A" w:rsidRPr="00134827">
        <w:rPr>
          <w:color w:val="000000" w:themeColor="text1"/>
          <w:u w:color="000000" w:themeColor="text1"/>
        </w:rPr>
        <w:t>32</w:t>
      </w:r>
      <w:r w:rsidR="005E65F5">
        <w:rPr>
          <w:color w:val="000000" w:themeColor="text1"/>
          <w:u w:color="000000" w:themeColor="text1"/>
        </w:rPr>
        <w:noBreakHyphen/>
      </w:r>
      <w:r w:rsidR="007C476A" w:rsidRPr="00134827">
        <w:rPr>
          <w:color w:val="000000" w:themeColor="text1"/>
          <w:u w:color="000000" w:themeColor="text1"/>
        </w:rPr>
        <w:t>10 of the 1976 Code is amended by adding an appropriatel</w:t>
      </w:r>
      <w:r w:rsidR="00696FAE">
        <w:rPr>
          <w:color w:val="000000" w:themeColor="text1"/>
          <w:u w:color="000000" w:themeColor="text1"/>
        </w:rPr>
        <w:t xml:space="preserve">y numbered </w:t>
      </w:r>
      <w:r w:rsidR="00680FE7">
        <w:rPr>
          <w:color w:val="000000" w:themeColor="text1"/>
          <w:u w:color="000000" w:themeColor="text1"/>
        </w:rPr>
        <w:t>item</w:t>
      </w:r>
      <w:r w:rsidR="00696FAE">
        <w:rPr>
          <w:color w:val="000000" w:themeColor="text1"/>
          <w:u w:color="000000" w:themeColor="text1"/>
        </w:rPr>
        <w:t xml:space="preserve"> to read</w:t>
      </w:r>
      <w:r w:rsidR="007C476A" w:rsidRPr="00134827">
        <w:rPr>
          <w:color w:val="000000" w:themeColor="text1"/>
          <w:u w:color="000000" w:themeColor="text1"/>
        </w:rPr>
        <w:t>:</w:t>
      </w:r>
    </w:p>
    <w:p w:rsidR="007C476A" w:rsidRPr="00134827"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E00"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827">
        <w:rPr>
          <w:color w:val="000000" w:themeColor="text1"/>
          <w:u w:color="000000" w:themeColor="text1"/>
        </w:rPr>
        <w:t>“</w:t>
      </w:r>
      <w:r w:rsidR="00696FAE">
        <w:rPr>
          <w:color w:val="000000" w:themeColor="text1"/>
          <w:u w:color="000000" w:themeColor="text1"/>
        </w:rPr>
        <w:t xml:space="preserve">( ) </w:t>
      </w:r>
      <w:r w:rsidR="00696FAE">
        <w:rPr>
          <w:color w:val="000000" w:themeColor="text1"/>
          <w:u w:color="000000" w:themeColor="text1"/>
        </w:rPr>
        <w:tab/>
      </w:r>
      <w:r w:rsidR="005E65F5" w:rsidRPr="005E65F5">
        <w:rPr>
          <w:color w:val="000000" w:themeColor="text1"/>
          <w:u w:color="000000" w:themeColor="text1"/>
        </w:rPr>
        <w:t>‘</w:t>
      </w:r>
      <w:r w:rsidRPr="00134827">
        <w:rPr>
          <w:color w:val="000000" w:themeColor="text1"/>
          <w:u w:color="000000" w:themeColor="text1"/>
        </w:rPr>
        <w:t>Timeshare instrument</w:t>
      </w:r>
      <w:r w:rsidR="005E65F5" w:rsidRPr="005E65F5">
        <w:rPr>
          <w:color w:val="000000" w:themeColor="text1"/>
          <w:u w:color="000000" w:themeColor="text1"/>
        </w:rPr>
        <w:t>’</w:t>
      </w:r>
      <w:r w:rsidRPr="00134827">
        <w:rPr>
          <w:color w:val="000000" w:themeColor="text1"/>
          <w:u w:color="000000" w:themeColor="text1"/>
        </w:rPr>
        <w:t xml:space="preserve">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located.”</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32, Title 27 of the 1976 Cod</w:t>
      </w:r>
      <w:r w:rsidR="00680FE7">
        <w:t>e</w:t>
      </w:r>
      <w:r>
        <w:t xml:space="preserve"> is amended by adding:</w:t>
      </w: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5</w:t>
      </w: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827">
        <w:rPr>
          <w:color w:val="000000" w:themeColor="text1"/>
          <w:u w:color="000000" w:themeColor="text1"/>
        </w:rPr>
        <w:t xml:space="preserve">Extension or Termination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34827">
        <w:rPr>
          <w:color w:val="000000" w:themeColor="text1"/>
          <w:u w:color="000000" w:themeColor="text1"/>
        </w:rPr>
        <w:t xml:space="preserve">This article may be cited as the </w:t>
      </w:r>
      <w:r w:rsidR="005E65F5" w:rsidRPr="005E65F5">
        <w:rPr>
          <w:color w:val="000000" w:themeColor="text1"/>
          <w:u w:color="000000" w:themeColor="text1"/>
        </w:rPr>
        <w:t>‘</w:t>
      </w:r>
      <w:r w:rsidRPr="00134827">
        <w:rPr>
          <w:color w:val="000000" w:themeColor="text1"/>
          <w:u w:color="000000" w:themeColor="text1"/>
        </w:rPr>
        <w:t xml:space="preserve">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t>
      </w:r>
      <w:r w:rsidR="00680FE7">
        <w:rPr>
          <w:color w:val="000000" w:themeColor="text1"/>
          <w:u w:color="000000" w:themeColor="text1"/>
        </w:rPr>
        <w:t>Extension and Termination Act</w:t>
      </w:r>
      <w:r w:rsidR="005E65F5" w:rsidRPr="005E65F5">
        <w:rPr>
          <w:color w:val="000000" w:themeColor="text1"/>
          <w:u w:color="000000" w:themeColor="text1"/>
        </w:rPr>
        <w:t>’</w:t>
      </w:r>
      <w:r w:rsidR="00680FE7">
        <w:rPr>
          <w:color w:val="000000" w:themeColor="text1"/>
          <w:u w:color="000000" w:themeColor="text1"/>
        </w:rPr>
        <w:t>.</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505.</w:t>
      </w:r>
      <w:r>
        <w:rPr>
          <w:color w:val="000000" w:themeColor="text1"/>
          <w:u w:color="000000" w:themeColor="text1"/>
        </w:rPr>
        <w:tab/>
      </w:r>
      <w:r w:rsidRPr="00134827">
        <w:rPr>
          <w:color w:val="000000" w:themeColor="text1"/>
          <w:u w:color="000000" w:themeColor="text1"/>
        </w:rPr>
        <w:t>The General Assembly declares that the purposes of this article are to recognize that: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V</w:t>
      </w:r>
      <w:r w:rsidR="00696FAE" w:rsidRPr="00134827">
        <w:rPr>
          <w:color w:val="000000" w:themeColor="text1"/>
          <w:u w:color="000000" w:themeColor="text1"/>
        </w:rPr>
        <w:t xml:space="preserve">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plans are created as authorized by statute with most of the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based on a horizontal property regime structure, and many of these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are approaching the termination dates set forth in their governing documents, some of which governing documents address termination or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some of which do not address termination or extension.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E086D">
        <w:rPr>
          <w:color w:val="000000" w:themeColor="text1"/>
          <w:u w:color="000000" w:themeColor="text1"/>
        </w:rPr>
        <w:t>I</w:t>
      </w:r>
      <w:r w:rsidRPr="00134827">
        <w:rPr>
          <w:color w:val="000000" w:themeColor="text1"/>
          <w:u w:color="000000" w:themeColor="text1"/>
        </w:rPr>
        <w:t xml:space="preserve">n order to provide the owners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interests with the right to terminate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to extend the terms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and preserve the continued use, enjoyment, and tax values o</w:t>
      </w:r>
      <w:r w:rsidR="00AE086D">
        <w:rPr>
          <w:color w:val="000000" w:themeColor="text1"/>
          <w:u w:color="000000" w:themeColor="text1"/>
        </w:rPr>
        <w:t xml:space="preserve">f these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AE086D">
        <w:rPr>
          <w:color w:val="000000" w:themeColor="text1"/>
          <w:u w:color="000000" w:themeColor="text1"/>
        </w:rPr>
        <w:t xml:space="preserve"> properties,</w:t>
      </w:r>
      <w:r w:rsidRPr="00134827">
        <w:rPr>
          <w:color w:val="000000" w:themeColor="text1"/>
          <w:u w:color="000000" w:themeColor="text1"/>
        </w:rPr>
        <w:t xml:space="preserve"> </w:t>
      </w:r>
      <w:r w:rsidR="00AE086D">
        <w:rPr>
          <w:color w:val="000000" w:themeColor="text1"/>
          <w:u w:color="000000" w:themeColor="text1"/>
        </w:rPr>
        <w:t>t</w:t>
      </w:r>
      <w:r w:rsidR="00775281">
        <w:rPr>
          <w:color w:val="000000" w:themeColor="text1"/>
          <w:u w:color="000000" w:themeColor="text1"/>
        </w:rPr>
        <w:t>he General Assembly</w:t>
      </w:r>
      <w:r w:rsidRPr="00134827">
        <w:rPr>
          <w:color w:val="000000" w:themeColor="text1"/>
          <w:u w:color="000000" w:themeColor="text1"/>
        </w:rPr>
        <w:t xml:space="preserve"> further </w:t>
      </w:r>
      <w:r w:rsidR="00775281">
        <w:rPr>
          <w:color w:val="000000" w:themeColor="text1"/>
          <w:u w:color="000000" w:themeColor="text1"/>
        </w:rPr>
        <w:t>declares</w:t>
      </w:r>
      <w:r w:rsidRPr="00134827">
        <w:rPr>
          <w:color w:val="000000" w:themeColor="text1"/>
          <w:u w:color="000000" w:themeColor="text1"/>
        </w:rPr>
        <w:t xml:space="preserve"> </w:t>
      </w:r>
      <w:r w:rsidR="00680FE7">
        <w:rPr>
          <w:color w:val="000000" w:themeColor="text1"/>
          <w:u w:color="000000" w:themeColor="text1"/>
        </w:rPr>
        <w:t>that the public policy of this S</w:t>
      </w:r>
      <w:r w:rsidRPr="00134827">
        <w:rPr>
          <w:color w:val="000000" w:themeColor="text1"/>
          <w:u w:color="000000" w:themeColor="text1"/>
        </w:rPr>
        <w:t xml:space="preserve">tate requires the creation of a statutory method to enable the owners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 to either terminate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extend the terms of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notwithstanding contrary provisions in their governing documents which may create uncertainty for purchasers, prospective purchasers, owners, and lenders, and which may discourage the ongoing maintenance, refurbishment, and improvement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extend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w:t>
      </w:r>
      <w:r>
        <w:rPr>
          <w:color w:val="000000" w:themeColor="text1"/>
          <w:u w:color="000000" w:themeColor="text1"/>
        </w:rPr>
        <w:t xml:space="preserve"> </w:t>
      </w:r>
      <w:r w:rsidRPr="00134827">
        <w:rPr>
          <w:color w:val="000000" w:themeColor="text1"/>
          <w:u w:color="000000" w:themeColor="text1"/>
        </w:rPr>
        <w:t xml:space="preserve">If the term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extended pursuant to this section, all rights, privileges, duties, and obligations created under applicable law or the timeshare instrument continue in full force to the same extent as if the extended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were the original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w:t>
      </w:r>
      <w:r w:rsidRPr="00134827">
        <w:rPr>
          <w:color w:val="000000" w:themeColor="text1"/>
          <w:u w:color="000000" w:themeColor="text1"/>
        </w:rPr>
        <w:lastRenderedPageBreak/>
        <w:t xml:space="preserve">meeting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34827">
        <w:rPr>
          <w:color w:val="000000" w:themeColor="text1"/>
          <w:u w:color="000000" w:themeColor="text1"/>
        </w:rPr>
        <w:t xml:space="preserve">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held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be held at any time before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w:t>
      </w:r>
      <w:r w:rsidR="00775281">
        <w:rPr>
          <w:color w:val="000000" w:themeColor="text1"/>
          <w:u w:color="000000" w:themeColor="text1"/>
        </w:rPr>
        <w:t>sociation may determine that a</w:t>
      </w:r>
      <w:r w:rsidRPr="00134827">
        <w:rPr>
          <w:color w:val="000000" w:themeColor="text1"/>
          <w:u w:color="000000" w:themeColor="text1"/>
        </w:rPr>
        <w:t xml:space="preserve"> voting interest that is delinquent in the payment of more than two years of assessments is ineligi</w:t>
      </w:r>
      <w:r w:rsidR="00775281">
        <w:rPr>
          <w:color w:val="000000" w:themeColor="text1"/>
          <w:u w:color="000000" w:themeColor="text1"/>
        </w:rPr>
        <w:t>ble to consent to or vote on an</w:t>
      </w:r>
      <w:r w:rsidRPr="00134827">
        <w:rPr>
          <w:color w:val="000000" w:themeColor="text1"/>
          <w:u w:color="000000" w:themeColor="text1"/>
        </w:rPr>
        <w:t xml:space="preserv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unless </w:t>
      </w:r>
      <w:r w:rsidR="00775281">
        <w:rPr>
          <w:color w:val="000000" w:themeColor="text1"/>
          <w:u w:color="000000" w:themeColor="text1"/>
        </w:rPr>
        <w:t>the</w:t>
      </w:r>
      <w:r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and </w:t>
      </w:r>
      <w:r w:rsidR="00775281">
        <w:rPr>
          <w:color w:val="000000" w:themeColor="text1"/>
          <w:u w:color="000000" w:themeColor="text1"/>
        </w:rPr>
        <w:t>must</w:t>
      </w:r>
      <w:r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34827">
        <w:rPr>
          <w:color w:val="000000" w:themeColor="text1"/>
          <w:u w:color="000000" w:themeColor="text1"/>
        </w:rPr>
        <w:t xml:space="preserve">A proxy for a vote to extend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775281">
        <w:rPr>
          <w:color w:val="000000" w:themeColor="text1"/>
          <w:u w:color="000000" w:themeColor="text1"/>
        </w:rPr>
        <w:t>An</w:t>
      </w:r>
      <w:r w:rsidRPr="00134827">
        <w:rPr>
          <w:color w:val="000000" w:themeColor="text1"/>
          <w:u w:color="000000" w:themeColor="text1"/>
        </w:rPr>
        <w:t xml:space="preserve"> action for damages or any other legal challenge arising out of the extension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must be commenced within one year after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terminate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If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terminated pursuant to this section, the termination has immediate effect as if the effective date of the termination were the original date of termination.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If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managed by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that is separate from any underlying owners</w:t>
      </w:r>
      <w:r w:rsidR="005E65F5" w:rsidRPr="005E65F5">
        <w:rPr>
          <w:color w:val="000000" w:themeColor="text1"/>
          <w:u w:color="000000" w:themeColor="text1"/>
        </w:rPr>
        <w:t>’</w:t>
      </w:r>
      <w:r w:rsidRPr="00134827">
        <w:rPr>
          <w:color w:val="000000" w:themeColor="text1"/>
          <w:u w:color="000000" w:themeColor="text1"/>
        </w:rPr>
        <w:t xml:space="preserve"> association,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does not change the corporate status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continues to exist only for the purposes of concluding its affairs, prosecuting and defending actions by or against it, collecting and discharging obligations, disposing of and conveying its </w:t>
      </w:r>
      <w:r w:rsidRPr="00134827">
        <w:rPr>
          <w:color w:val="000000" w:themeColor="text1"/>
          <w:u w:color="000000" w:themeColor="text1"/>
        </w:rPr>
        <w:lastRenderedPageBreak/>
        <w:t>property, collecting and dividing its assets, and otherwise complying with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fter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shall serve as the termination trustee, as the entity empowered to implement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in </w:t>
      </w:r>
      <w:r w:rsidR="00680FE7">
        <w:rPr>
          <w:color w:val="000000" w:themeColor="text1"/>
          <w:u w:color="000000" w:themeColor="text1"/>
        </w:rPr>
        <w:t>this</w:t>
      </w:r>
      <w:r w:rsidR="00696FAE" w:rsidRPr="00134827">
        <w:rPr>
          <w:color w:val="000000" w:themeColor="text1"/>
          <w:u w:color="000000" w:themeColor="text1"/>
        </w:rPr>
        <w:t xml:space="preserve"> fiduciary capacity may bring an action in partition on behalf of the tenants in common in each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or sell the former vacat</w:t>
      </w:r>
      <w:r w:rsidR="00775281">
        <w:rPr>
          <w:color w:val="000000" w:themeColor="text1"/>
          <w:u w:color="000000" w:themeColor="text1"/>
        </w:rPr>
        <w:t xml:space="preserve">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775281">
        <w:rPr>
          <w:color w:val="000000" w:themeColor="text1"/>
          <w:u w:color="000000" w:themeColor="text1"/>
        </w:rPr>
        <w:t xml:space="preserve"> property in a manner and to a</w:t>
      </w:r>
      <w:r w:rsidR="00696FAE" w:rsidRPr="00134827">
        <w:rPr>
          <w:color w:val="000000" w:themeColor="text1"/>
          <w:u w:color="000000" w:themeColor="text1"/>
        </w:rPr>
        <w:t xml:space="preserve"> person who is approved by a majority of all tenants in common. The termination trustee also has all other powers reasonably necessary to effect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including the power to maintain the pro</w:t>
      </w:r>
      <w:r w:rsidR="00775281">
        <w:rPr>
          <w:color w:val="000000" w:themeColor="text1"/>
          <w:u w:color="000000" w:themeColor="text1"/>
        </w:rPr>
        <w:t>perty during the pendency of a</w:t>
      </w:r>
      <w:r>
        <w:rPr>
          <w:color w:val="000000" w:themeColor="text1"/>
          <w:u w:color="000000" w:themeColor="text1"/>
        </w:rPr>
        <w:t xml:space="preserve"> partition action or sale;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ll reasonable expenses incurred by the termination trustee relating to the performance of its duties pursuant to this section, including the reasonable fees of attorneys and other professionals, must be paid by the tenants in common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subject to partition or sale, proportionate to their</w:t>
      </w:r>
      <w:r>
        <w:rPr>
          <w:color w:val="000000" w:themeColor="text1"/>
          <w:u w:color="000000" w:themeColor="text1"/>
        </w:rPr>
        <w:t xml:space="preserve"> respective ownership interests; and</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t</w:t>
      </w:r>
      <w:r w:rsidR="00696FAE" w:rsidRPr="00134827">
        <w:rPr>
          <w:color w:val="000000" w:themeColor="text1"/>
          <w:u w:color="000000" w:themeColor="text1"/>
        </w:rPr>
        <w:t xml:space="preserve">he termination trustee shall adopt reasonable procedures to implement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comply with the requirements of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If the terminated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in an underlying subdivision that is not simultaneously terminated, a majority of the tenants in common in each former accommodation present and voting in person or by proxy at a meeting of </w:t>
      </w:r>
      <w:r w:rsidR="00775281">
        <w:rPr>
          <w:color w:val="000000" w:themeColor="text1"/>
          <w:u w:color="000000" w:themeColor="text1"/>
        </w:rPr>
        <w:t>the</w:t>
      </w:r>
      <w:r w:rsidR="00696FAE" w:rsidRPr="00134827">
        <w:rPr>
          <w:color w:val="000000" w:themeColor="text1"/>
          <w:u w:color="000000" w:themeColor="text1"/>
        </w:rPr>
        <w:t xml:space="preserve"> tenants in common conducted by the termination trustee, or conducted by the board of directors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if </w:t>
      </w:r>
      <w:r w:rsidR="00775281">
        <w:rPr>
          <w:color w:val="000000" w:themeColor="text1"/>
          <w:u w:color="000000" w:themeColor="text1"/>
        </w:rPr>
        <w:t>the</w:t>
      </w:r>
      <w:r w:rsidR="00696FAE" w:rsidRPr="00134827">
        <w:rPr>
          <w:color w:val="000000" w:themeColor="text1"/>
          <w:u w:color="000000" w:themeColor="text1"/>
        </w:rPr>
        <w:t xml:space="preserv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managed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shall designate a voting representative for the former accommodation and file a voting certificate with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w:t>
      </w:r>
      <w:r w:rsidR="00186207">
        <w:rPr>
          <w:color w:val="000000" w:themeColor="text1"/>
          <w:u w:color="000000" w:themeColor="text1"/>
        </w:rPr>
        <w:t xml:space="preserve"> </w:t>
      </w:r>
      <w:r w:rsidR="00696FAE" w:rsidRPr="00134827">
        <w:rPr>
          <w:color w:val="000000" w:themeColor="text1"/>
          <w:u w:color="000000" w:themeColor="text1"/>
        </w:rPr>
        <w:t xml:space="preserve"> The voting representative may vote on all matters at meetings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including termination of the underlying subdivision.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meeting to consider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w:t>
      </w:r>
      <w:r w:rsidR="00775281">
        <w:rPr>
          <w:color w:val="000000" w:themeColor="text1"/>
          <w:u w:color="000000" w:themeColor="text1"/>
        </w:rPr>
        <w:t>sociation may determine that a</w:t>
      </w:r>
      <w:r w:rsidR="00696FAE" w:rsidRPr="00134827">
        <w:rPr>
          <w:color w:val="000000" w:themeColor="text1"/>
          <w:u w:color="000000" w:themeColor="text1"/>
        </w:rPr>
        <w:t xml:space="preserve"> voting interest that is delinquent in the payment of more than two years of assessments is ineligible to </w:t>
      </w:r>
      <w:r w:rsidR="00696FAE" w:rsidRPr="00134827">
        <w:rPr>
          <w:color w:val="000000" w:themeColor="text1"/>
          <w:u w:color="000000" w:themeColor="text1"/>
        </w:rPr>
        <w:lastRenderedPageBreak/>
        <w:t xml:space="preserve">consent to or vote on any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unless </w:t>
      </w:r>
      <w:r w:rsidR="00775281">
        <w:rPr>
          <w:color w:val="000000" w:themeColor="text1"/>
          <w:u w:color="000000" w:themeColor="text1"/>
        </w:rPr>
        <w:t>the</w:t>
      </w:r>
      <w:r w:rsidR="00696FAE"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00696FAE"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w:t>
      </w:r>
      <w:r w:rsidR="00775281">
        <w:rPr>
          <w:color w:val="000000" w:themeColor="text1"/>
          <w:u w:color="000000" w:themeColor="text1"/>
        </w:rPr>
        <w:t>must</w:t>
      </w:r>
      <w:r w:rsidR="00696FAE"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A proxy for a vote to terminate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696FAE">
        <w:rPr>
          <w:color w:val="000000" w:themeColor="text1"/>
          <w:u w:color="000000" w:themeColor="text1"/>
        </w:rPr>
        <w:t>)</w:t>
      </w:r>
      <w:r w:rsidR="00696FAE">
        <w:rPr>
          <w:color w:val="000000" w:themeColor="text1"/>
          <w:u w:color="000000" w:themeColor="text1"/>
        </w:rPr>
        <w:tab/>
      </w:r>
      <w:r w:rsidR="00775281">
        <w:rPr>
          <w:color w:val="000000" w:themeColor="text1"/>
          <w:u w:color="000000" w:themeColor="text1"/>
        </w:rPr>
        <w:t>An</w:t>
      </w:r>
      <w:r w:rsidR="00696FAE" w:rsidRPr="00134827">
        <w:rPr>
          <w:color w:val="000000" w:themeColor="text1"/>
          <w:u w:color="000000" w:themeColor="text1"/>
        </w:rPr>
        <w:t xml:space="preserve"> action for damages or a</w:t>
      </w:r>
      <w:r w:rsidR="00796484">
        <w:rPr>
          <w:color w:val="000000" w:themeColor="text1"/>
          <w:u w:color="000000" w:themeColor="text1"/>
        </w:rPr>
        <w:t>ny oth</w:t>
      </w:r>
      <w:r w:rsidR="00696FAE" w:rsidRPr="00134827">
        <w:rPr>
          <w:color w:val="000000" w:themeColor="text1"/>
          <w:u w:color="000000" w:themeColor="text1"/>
        </w:rPr>
        <w:t xml:space="preserve">er legal challenge arising out of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must be commenced within one year after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134827">
        <w:rPr>
          <w:color w:val="000000" w:themeColor="text1"/>
          <w:u w:color="000000" w:themeColor="text1"/>
        </w:rPr>
        <w:t xml:space="preserve">The provisions of this article apply to all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 plans in this S</w:t>
      </w:r>
      <w:r w:rsidRPr="00134827">
        <w:rPr>
          <w:color w:val="000000" w:themeColor="text1"/>
          <w:u w:color="000000" w:themeColor="text1"/>
        </w:rPr>
        <w:t>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FAE">
        <w:t>4</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C9E" w:rsidRDefault="00D63C9E" w:rsidP="00D63C9E">
      <w:pPr>
        <w:suppressAutoHyphens/>
      </w:pPr>
    </w:p>
    <w:sectPr w:rsidR="00D63C9E"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86D" w:rsidRDefault="00AE086D" w:rsidP="009F0C77">
      <w:r>
        <w:separator/>
      </w:r>
    </w:p>
  </w:endnote>
  <w:endnote w:type="continuationSeparator" w:id="0">
    <w:p w:rsidR="00AE086D" w:rsidRDefault="00AE08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17EB972-DD0C-4FD5-839A-3953599613E7}"/>
    <w:embedBold r:id="rId2" w:fontKey="{A7B7EBCB-DEDB-44E3-8457-724E20839DD7}"/>
  </w:font>
  <w:font w:name="Calibri">
    <w:panose1 w:val="020F0502020204030204"/>
    <w:charset w:val="00"/>
    <w:family w:val="swiss"/>
    <w:pitch w:val="variable"/>
    <w:sig w:usb0="E0002AFF" w:usb1="C000247B" w:usb2="00000009" w:usb3="00000000" w:csb0="000001FF" w:csb1="00000000"/>
    <w:embedRegular r:id="rId3" w:fontKey="{1D089F49-6E1C-4501-9E3B-A6D4EE3AE3F2}"/>
  </w:font>
  <w:font w:name="Segoe UI">
    <w:panose1 w:val="020B0502040204020203"/>
    <w:charset w:val="00"/>
    <w:family w:val="swiss"/>
    <w:pitch w:val="variable"/>
    <w:sig w:usb0="E4002EFF" w:usb1="C000E47F" w:usb2="00000009" w:usb3="00000000" w:csb0="000001FF" w:csb1="00000000"/>
    <w:embedRegular r:id="rId4" w:fontKey="{F7750A61-49BB-4B7E-B88D-3741CCAA38FF}"/>
  </w:font>
  <w:font w:name="Cambria">
    <w:panose1 w:val="02040503050406030204"/>
    <w:charset w:val="00"/>
    <w:family w:val="roman"/>
    <w:pitch w:val="variable"/>
    <w:sig w:usb0="E00006FF" w:usb1="420024FF" w:usb2="02000000" w:usb3="00000000" w:csb0="0000019F" w:csb1="00000000"/>
    <w:embedRegular r:id="rId5" w:fontKey="{BA2E90FB-AF46-4FB1-A26A-51C83592A0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AB" w:rsidRPr="00C47C81" w:rsidRDefault="00C47C81" w:rsidP="00C47C81">
    <w:pPr>
      <w:pStyle w:val="Footer"/>
      <w:tabs>
        <w:tab w:val="clear" w:pos="4680"/>
        <w:tab w:val="clear" w:pos="9360"/>
        <w:tab w:val="center" w:pos="2995"/>
      </w:tabs>
      <w:spacing w:before="120"/>
    </w:pPr>
    <w:r>
      <w:t>[3754</w:t>
    </w:r>
    <w:r w:rsidR="00F13499">
      <w:t>-</w:t>
    </w:r>
    <w:r w:rsidR="00F13499">
      <w:fldChar w:fldCharType="begin"/>
    </w:r>
    <w:r w:rsidR="00F13499">
      <w:instrText xml:space="preserve"> PAGE  \* MERGEFORMAT </w:instrText>
    </w:r>
    <w:r w:rsidR="00F13499">
      <w:fldChar w:fldCharType="separate"/>
    </w:r>
    <w:r w:rsidR="00D63C9E">
      <w:rPr>
        <w:noProof/>
      </w:rPr>
      <w:t>2</w:t>
    </w:r>
    <w:r w:rsidR="00F13499">
      <w:fldChar w:fldCharType="end"/>
    </w:r>
    <w:r w:rsidR="00F134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99" w:rsidRPr="00C47C81" w:rsidRDefault="00F13499"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D63C9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86D" w:rsidRDefault="00AE086D" w:rsidP="009F0C77">
      <w:r>
        <w:separator/>
      </w:r>
    </w:p>
  </w:footnote>
  <w:footnote w:type="continuationSeparator" w:id="0">
    <w:p w:rsidR="00AE086D" w:rsidRDefault="00AE08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E0100"/>
    <w:rsid w:val="000E1785"/>
    <w:rsid w:val="000F40FA"/>
    <w:rsid w:val="001035F1"/>
    <w:rsid w:val="0010776B"/>
    <w:rsid w:val="00133E66"/>
    <w:rsid w:val="001340FB"/>
    <w:rsid w:val="001435A3"/>
    <w:rsid w:val="00146ED3"/>
    <w:rsid w:val="00151044"/>
    <w:rsid w:val="00186207"/>
    <w:rsid w:val="00191D50"/>
    <w:rsid w:val="001D08F2"/>
    <w:rsid w:val="001D3A58"/>
    <w:rsid w:val="001D525B"/>
    <w:rsid w:val="001D7F4F"/>
    <w:rsid w:val="00205238"/>
    <w:rsid w:val="002321B6"/>
    <w:rsid w:val="00250967"/>
    <w:rsid w:val="002543C8"/>
    <w:rsid w:val="0025541D"/>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56EBF"/>
    <w:rsid w:val="00577C6C"/>
    <w:rsid w:val="005A62FE"/>
    <w:rsid w:val="005C2FE2"/>
    <w:rsid w:val="005D7B64"/>
    <w:rsid w:val="005E2BC9"/>
    <w:rsid w:val="005E65F5"/>
    <w:rsid w:val="00605102"/>
    <w:rsid w:val="006215AA"/>
    <w:rsid w:val="00680FE7"/>
    <w:rsid w:val="006913C9"/>
    <w:rsid w:val="0069470D"/>
    <w:rsid w:val="00696FAE"/>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412D4"/>
    <w:rsid w:val="00BE3C22"/>
    <w:rsid w:val="00C0345E"/>
    <w:rsid w:val="00C31C95"/>
    <w:rsid w:val="00C3483A"/>
    <w:rsid w:val="00C47C81"/>
    <w:rsid w:val="00C74E9D"/>
    <w:rsid w:val="00C826DD"/>
    <w:rsid w:val="00C82FD3"/>
    <w:rsid w:val="00C92819"/>
    <w:rsid w:val="00CC6B7B"/>
    <w:rsid w:val="00CD2089"/>
    <w:rsid w:val="00D57B02"/>
    <w:rsid w:val="00D63C9E"/>
    <w:rsid w:val="00D73A67"/>
    <w:rsid w:val="00D970A9"/>
    <w:rsid w:val="00DF3845"/>
    <w:rsid w:val="00E41911"/>
    <w:rsid w:val="00E44B57"/>
    <w:rsid w:val="00E621AB"/>
    <w:rsid w:val="00E92EEF"/>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B3A15-0ACF-41F6-A037-6026743A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8</Pages>
  <Words>2152</Words>
  <Characters>11636</Characters>
  <Application>Microsoft Office Word</Application>
  <DocSecurity>0</DocSecurity>
  <Lines>284</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(Feb. 14, 2019) - South Carolina Legislature Online</dc:title>
  <dc:creator>Nancy Lee</dc:creator>
  <cp:lastModifiedBy>Lavarres Lynch</cp:lastModifiedBy>
  <cp:revision>2</cp:revision>
  <cp:lastPrinted>2019-01-22T21:42:00Z</cp:lastPrinted>
  <dcterms:created xsi:type="dcterms:W3CDTF">2019-02-14T20:33:00Z</dcterms:created>
  <dcterms:modified xsi:type="dcterms:W3CDTF">2019-02-14T20:33:00Z</dcterms:modified>
</cp:coreProperties>
</file>