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104" w:rsidRP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Pr="00643104" w:rsidRDefault="00643104" w:rsidP="00643104">
      <w:pPr>
        <w:tabs>
          <w:tab w:val="right" w:pos="5933"/>
        </w:tabs>
        <w:suppressAutoHyphens/>
      </w:pPr>
      <w:r>
        <w:tab/>
      </w:r>
      <w:r>
        <w:rPr>
          <w:b/>
          <w:sz w:val="36"/>
        </w:rPr>
        <w:t>H. 3778</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Sandifer, Simrill, Murphy, Weeks, Pope, McCoy, Hayes, Clary, Stringer, Bannister, Elliott, B. Cox, Morgan, W. Cox, Stavrinakis and Cobb</w:t>
      </w:r>
      <w:r>
        <w:noBreakHyphen/>
        <w:t>Hunter</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643104" w:rsidRPr="00643104"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Pr="00643104"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3778) </w:t>
      </w:r>
      <w:r w:rsidRPr="00643104">
        <w:rPr>
          <w:color w:val="000000" w:themeColor="text1"/>
          <w:u w:color="000000" w:themeColor="text1"/>
        </w:rPr>
        <w:t>to amend Section 12</w:t>
      </w:r>
      <w:r w:rsidRPr="00643104">
        <w:rPr>
          <w:color w:val="000000" w:themeColor="text1"/>
          <w:u w:color="000000" w:themeColor="text1"/>
        </w:rPr>
        <w:noBreakHyphen/>
        <w:t>6</w:t>
      </w:r>
      <w:r w:rsidRPr="00643104">
        <w:rPr>
          <w:color w:val="000000" w:themeColor="text1"/>
          <w:u w:color="000000" w:themeColor="text1"/>
        </w:rPr>
        <w:noBreakHyphen/>
        <w:t>3375, Code of Laws of South Carolina, 1976, relating to the tax credit for a port cargo volume increase</w:t>
      </w:r>
      <w:r>
        <w:t>, etc., respectfully</w:t>
      </w:r>
    </w:p>
    <w:p w:rsidR="00643104" w:rsidRPr="00643104"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rFonts w:eastAsia="Times New Roman"/>
          <w:color w:val="auto"/>
          <w:sz w:val="22"/>
          <w:szCs w:val="20"/>
        </w:rPr>
        <w:tab/>
      </w:r>
      <w:r w:rsidRPr="00BB2A88">
        <w:rPr>
          <w:rFonts w:eastAsia="Times New Roman"/>
          <w:color w:val="auto"/>
          <w:sz w:val="22"/>
          <w:szCs w:val="20"/>
        </w:rPr>
        <w:t>Amend the bill, as and if amended,</w:t>
      </w:r>
      <w:r w:rsidRPr="00BB2A88">
        <w:rPr>
          <w:color w:val="auto"/>
          <w:sz w:val="22"/>
          <w:szCs w:val="22"/>
        </w:rPr>
        <w:t xml:space="preserve"> beginning on page 1, by striking line 28 through line 11 on page 2, and inserting:</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ab/>
      </w:r>
      <w:r w:rsidRPr="00BB2A88">
        <w:rPr>
          <w:color w:val="auto"/>
          <w:sz w:val="22"/>
          <w:szCs w:val="22"/>
        </w:rPr>
        <w:t>/</w:t>
      </w:r>
      <w:r w:rsidRPr="00BB2A88">
        <w:rPr>
          <w:color w:val="auto"/>
          <w:sz w:val="22"/>
          <w:szCs w:val="22"/>
        </w:rPr>
        <w:tab/>
        <w:t>SECTION</w:t>
      </w:r>
      <w:r w:rsidRPr="00BB2A88">
        <w:rPr>
          <w:color w:val="auto"/>
          <w:sz w:val="22"/>
          <w:szCs w:val="22"/>
        </w:rPr>
        <w:tab/>
        <w:t>1.</w:t>
      </w:r>
      <w:r w:rsidRPr="00BB2A88">
        <w:rPr>
          <w:color w:val="auto"/>
          <w:sz w:val="22"/>
          <w:szCs w:val="22"/>
        </w:rPr>
        <w:tab/>
        <w:t>Section 12</w:t>
      </w:r>
      <w:r w:rsidRPr="00BB2A88">
        <w:rPr>
          <w:color w:val="auto"/>
          <w:sz w:val="22"/>
          <w:szCs w:val="22"/>
        </w:rPr>
        <w:noBreakHyphen/>
        <w:t>6</w:t>
      </w:r>
      <w:r w:rsidRPr="00BB2A88">
        <w:rPr>
          <w:color w:val="auto"/>
          <w:sz w:val="22"/>
          <w:szCs w:val="22"/>
        </w:rPr>
        <w:noBreakHyphen/>
        <w:t>3375(</w:t>
      </w:r>
      <w:bookmarkStart w:id="0" w:name="temp"/>
      <w:bookmarkEnd w:id="0"/>
      <w:r w:rsidRPr="00BB2A88">
        <w:rPr>
          <w:color w:val="auto"/>
          <w:sz w:val="22"/>
          <w:szCs w:val="22"/>
        </w:rPr>
        <w:t>A) and (D) of the 1976 Code is amended to read:</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t>“(A)(1)</w:t>
      </w:r>
      <w:r w:rsidRPr="00BB2A88">
        <w:rPr>
          <w:color w:val="auto"/>
          <w:sz w:val="22"/>
          <w:szCs w:val="22"/>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t>(2)</w:t>
      </w:r>
      <w:r w:rsidRPr="00BB2A88">
        <w:rPr>
          <w:color w:val="auto"/>
          <w:sz w:val="22"/>
          <w:szCs w:val="22"/>
        </w:rPr>
        <w:tab/>
      </w:r>
      <w:r w:rsidRPr="00BB2A88">
        <w:rPr>
          <w:color w:val="auto"/>
          <w:sz w:val="22"/>
          <w:szCs w:val="22"/>
        </w:rPr>
        <w:tab/>
        <w:t xml:space="preserve">The maximum amount of tax credits allowed to all qualifying taxpayers pursuant to this section may not exceed </w:t>
      </w:r>
      <w:r w:rsidRPr="00BB2A88">
        <w:rPr>
          <w:strike/>
          <w:color w:val="auto"/>
          <w:sz w:val="22"/>
          <w:szCs w:val="22"/>
        </w:rPr>
        <w:t>eight</w:t>
      </w:r>
      <w:r w:rsidRPr="00BB2A88">
        <w:rPr>
          <w:color w:val="auto"/>
          <w:sz w:val="22"/>
          <w:szCs w:val="22"/>
        </w:rPr>
        <w:t xml:space="preserve"> </w:t>
      </w:r>
      <w:r w:rsidRPr="00BB2A88">
        <w:rPr>
          <w:color w:val="auto"/>
          <w:sz w:val="22"/>
          <w:szCs w:val="22"/>
          <w:u w:val="single"/>
        </w:rPr>
        <w:t>fifteen</w:t>
      </w:r>
      <w:r w:rsidRPr="00BB2A88">
        <w:rPr>
          <w:color w:val="auto"/>
          <w:sz w:val="22"/>
          <w:szCs w:val="22"/>
        </w:rPr>
        <w:t xml:space="preserve"> million dollars for each calendar year. The credits may be claimed against the taxes imposed pursuant to Sections 12</w:t>
      </w:r>
      <w:r w:rsidRPr="00BB2A88">
        <w:rPr>
          <w:color w:val="auto"/>
          <w:sz w:val="22"/>
          <w:szCs w:val="22"/>
        </w:rPr>
        <w:noBreakHyphen/>
        <w:t>6</w:t>
      </w:r>
      <w:r w:rsidRPr="00BB2A88">
        <w:rPr>
          <w:color w:val="auto"/>
          <w:sz w:val="22"/>
          <w:szCs w:val="22"/>
        </w:rPr>
        <w:noBreakHyphen/>
        <w:t xml:space="preserve">530 </w:t>
      </w:r>
      <w:r w:rsidRPr="00BB2A88">
        <w:rPr>
          <w:color w:val="auto"/>
          <w:sz w:val="22"/>
          <w:szCs w:val="22"/>
        </w:rPr>
        <w:lastRenderedPageBreak/>
        <w:t>and 12</w:t>
      </w:r>
      <w:r w:rsidRPr="00BB2A88">
        <w:rPr>
          <w:color w:val="auto"/>
          <w:sz w:val="22"/>
          <w:szCs w:val="22"/>
        </w:rPr>
        <w:noBreakHyphen/>
        <w:t>6</w:t>
      </w:r>
      <w:r w:rsidRPr="00BB2A88">
        <w:rPr>
          <w:color w:val="auto"/>
          <w:sz w:val="22"/>
          <w:szCs w:val="22"/>
        </w:rPr>
        <w:noBreakHyphen/>
        <w:t xml:space="preserve">545 and against employee withholdings. The council has sole discretion in allocating the credits provided by this section and must consider the following factors: </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(a)</w:t>
      </w:r>
      <w:r w:rsidRPr="00BB2A88">
        <w:rPr>
          <w:color w:val="auto"/>
          <w:sz w:val="22"/>
          <w:szCs w:val="22"/>
        </w:rPr>
        <w:tab/>
        <w:t xml:space="preserve">the amount of base year port cargo volume; </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(b)</w:t>
      </w:r>
      <w:r w:rsidRPr="00BB2A88">
        <w:rPr>
          <w:color w:val="auto"/>
          <w:sz w:val="22"/>
          <w:szCs w:val="22"/>
        </w:rPr>
        <w:tab/>
        <w:t xml:space="preserve">the total and percentage increase in port cargo volume; and </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(c)</w:t>
      </w:r>
      <w:r w:rsidRPr="00BB2A88">
        <w:rPr>
          <w:color w:val="auto"/>
          <w:sz w:val="22"/>
          <w:szCs w:val="22"/>
        </w:rPr>
        <w:tab/>
        <w:t>factors related to the economic benefit of the State or other factors.</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52"/>
        </w:rPr>
      </w:pPr>
      <w:r w:rsidRPr="00BB2A88">
        <w:rPr>
          <w:color w:val="auto"/>
          <w:sz w:val="22"/>
          <w:szCs w:val="52"/>
        </w:rPr>
        <w:tab/>
        <w:t>(D)</w:t>
      </w:r>
      <w:r w:rsidRPr="00BB2A88">
        <w:rPr>
          <w:color w:val="auto"/>
          <w:sz w:val="22"/>
          <w:szCs w:val="52"/>
        </w:rPr>
        <w:tab/>
        <w:t xml:space="preserve">The council annually may award up to one million dollars of the </w:t>
      </w:r>
      <w:r w:rsidRPr="00BB2A88">
        <w:rPr>
          <w:strike/>
          <w:color w:val="auto"/>
          <w:sz w:val="22"/>
          <w:szCs w:val="52"/>
        </w:rPr>
        <w:t>eight</w:t>
      </w:r>
      <w:r w:rsidRPr="00BB2A88">
        <w:rPr>
          <w:color w:val="auto"/>
          <w:sz w:val="22"/>
          <w:szCs w:val="52"/>
        </w:rPr>
        <w:t xml:space="preserve"> </w:t>
      </w:r>
      <w:r w:rsidRPr="00BB2A88">
        <w:rPr>
          <w:color w:val="auto"/>
          <w:sz w:val="22"/>
          <w:szCs w:val="52"/>
          <w:u w:val="single"/>
        </w:rPr>
        <w:t>fifteen</w:t>
      </w:r>
      <w:r w:rsidRPr="00BB2A88">
        <w:rPr>
          <w:color w:val="auto"/>
          <w:sz w:val="22"/>
          <w:szCs w:val="52"/>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Pr="00BB2A88">
        <w:rPr>
          <w:color w:val="auto"/>
          <w:sz w:val="22"/>
          <w:szCs w:val="52"/>
        </w:rPr>
        <w:noBreakHyphen/>
        <w:t xml:space="preserve">time jobs, and the base year cargo </w:t>
      </w:r>
      <w:r w:rsidRPr="00BB2A88">
        <w:rPr>
          <w:strike/>
          <w:color w:val="auto"/>
          <w:sz w:val="22"/>
          <w:szCs w:val="52"/>
        </w:rPr>
        <w:t>shall</w:t>
      </w:r>
      <w:r w:rsidRPr="00BB2A88">
        <w:rPr>
          <w:color w:val="auto"/>
          <w:sz w:val="22"/>
          <w:szCs w:val="52"/>
        </w:rPr>
        <w:t xml:space="preserve"> </w:t>
      </w:r>
      <w:r w:rsidRPr="00BB2A88">
        <w:rPr>
          <w:color w:val="auto"/>
          <w:sz w:val="22"/>
          <w:szCs w:val="52"/>
          <w:u w:val="single"/>
        </w:rPr>
        <w:t>may</w:t>
      </w:r>
      <w:r w:rsidRPr="00BB2A88">
        <w:rPr>
          <w:color w:val="auto"/>
          <w:sz w:val="22"/>
          <w:szCs w:val="52"/>
        </w:rPr>
        <w:t xml:space="preserve"> not be less than five thousand TEUs or its non</w:t>
      </w:r>
      <w:r w:rsidRPr="00BB2A88">
        <w:rPr>
          <w:color w:val="auto"/>
          <w:sz w:val="22"/>
          <w:szCs w:val="52"/>
        </w:rPr>
        <w:noBreakHyphen/>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643104" w:rsidRPr="00BB2A88" w:rsidRDefault="00643104" w:rsidP="0064310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52"/>
        </w:rPr>
      </w:pPr>
      <w:r>
        <w:rPr>
          <w:color w:val="auto"/>
          <w:sz w:val="22"/>
          <w:szCs w:val="52"/>
        </w:rPr>
        <w:tab/>
      </w:r>
      <w:r w:rsidRPr="00BB2A88">
        <w:rPr>
          <w:color w:val="auto"/>
          <w:sz w:val="22"/>
          <w:szCs w:val="52"/>
        </w:rPr>
        <w:t>SECTION</w:t>
      </w:r>
      <w:r w:rsidRPr="00BB2A88">
        <w:rPr>
          <w:color w:val="auto"/>
          <w:sz w:val="22"/>
          <w:szCs w:val="52"/>
        </w:rPr>
        <w:tab/>
        <w:t>2.</w:t>
      </w:r>
      <w:r w:rsidRPr="00BB2A88">
        <w:rPr>
          <w:color w:val="auto"/>
          <w:sz w:val="22"/>
          <w:szCs w:val="52"/>
        </w:rPr>
        <w:tab/>
        <w:t>Section 12</w:t>
      </w:r>
      <w:r w:rsidRPr="00BB2A88">
        <w:rPr>
          <w:color w:val="auto"/>
          <w:sz w:val="22"/>
          <w:szCs w:val="52"/>
        </w:rPr>
        <w:noBreakHyphen/>
        <w:t>6</w:t>
      </w:r>
      <w:r w:rsidRPr="00BB2A88">
        <w:rPr>
          <w:color w:val="auto"/>
          <w:sz w:val="22"/>
          <w:szCs w:val="52"/>
        </w:rPr>
        <w:noBreakHyphen/>
        <w:t>3375 of the 1976 Code is amended by adding an appropriately lettered subsection at the end to read:</w:t>
      </w:r>
    </w:p>
    <w:p w:rsidR="00643104" w:rsidRPr="00BB2A88"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B2A88">
        <w:rPr>
          <w:szCs w:val="52"/>
        </w:rPr>
        <w:tab/>
        <w:t>“(  )(1)</w:t>
      </w:r>
      <w:r w:rsidRPr="00BB2A88">
        <w:rPr>
          <w:szCs w:val="52"/>
        </w:rPr>
        <w:tab/>
        <w:t>A taxpayer engaged in any of the businesses identified in subsection (A)(1) at a facility located in the counties of Allendale, Bamberg, Barnwell, Beaufort, Colleton, Hampton, Jasper, or Orangeburg is eligible to claim a port transportation credit in the form of an income tax credit or a credit against employee withholding for its transportation costs in an amount determined by the council in its sole discretion.</w:t>
      </w:r>
      <w:r w:rsidRPr="00BB2A88">
        <w:rPr>
          <w:szCs w:val="52"/>
        </w:rPr>
        <w:tab/>
      </w:r>
      <w:r w:rsidRPr="00BB2A88">
        <w:rPr>
          <w:szCs w:val="52"/>
        </w:rPr>
        <w:tab/>
        <w:t>/</w:t>
      </w:r>
    </w:p>
    <w:p w:rsidR="00643104" w:rsidRPr="00BB2A88"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B2A88">
        <w:rPr>
          <w:szCs w:val="52"/>
        </w:rPr>
        <w:t>Renumber sections to conform.</w:t>
      </w:r>
    </w:p>
    <w:p w:rsidR="00643104"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B2A88">
        <w:rPr>
          <w:szCs w:val="52"/>
        </w:rPr>
        <w:t>Amend title to conform.</w:t>
      </w:r>
    </w:p>
    <w:p w:rsidR="00643104" w:rsidRPr="00BB2A88"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43104" w:rsidRPr="00643104" w:rsidRDefault="00643104" w:rsidP="00643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Pr="00643104" w:rsidRDefault="00643104" w:rsidP="006431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643104" w:rsidRPr="00A7457C" w:rsidRDefault="00643104" w:rsidP="00643104">
      <w:pPr>
        <w:keepNext/>
        <w:rPr>
          <w:b/>
        </w:rPr>
      </w:pPr>
      <w:r w:rsidRPr="00A7457C">
        <w:rPr>
          <w:b/>
        </w:rPr>
        <w:t>Explanation of Fiscal Impact</w:t>
      </w:r>
    </w:p>
    <w:p w:rsidR="00643104" w:rsidRPr="00A7457C" w:rsidRDefault="00643104" w:rsidP="00643104">
      <w:pPr>
        <w:rPr>
          <w:b/>
        </w:rPr>
      </w:pPr>
      <w:r w:rsidRPr="00A7457C">
        <w:rPr>
          <w:b/>
        </w:rPr>
        <w:t>Introduced on January 29, 2019</w:t>
      </w:r>
    </w:p>
    <w:p w:rsidR="00643104" w:rsidRPr="00A7457C" w:rsidRDefault="00643104" w:rsidP="00643104">
      <w:pPr>
        <w:rPr>
          <w:b/>
        </w:rPr>
      </w:pPr>
      <w:r w:rsidRPr="00A7457C">
        <w:rPr>
          <w:b/>
        </w:rPr>
        <w:t>State Expenditure</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6707">
        <w:rPr>
          <w:rFonts w:cs="Times New Roman"/>
          <w:sz w:val="22"/>
        </w:rPr>
        <w:t xml:space="preserve">The Department of Revenue indicates that there will be no expenditure impact to the </w:t>
      </w:r>
      <w:r>
        <w:rPr>
          <w:rFonts w:cs="Times New Roman"/>
          <w:sz w:val="22"/>
        </w:rPr>
        <w:t>g</w:t>
      </w:r>
      <w:r w:rsidRPr="009A6707">
        <w:rPr>
          <w:rFonts w:cs="Times New Roman"/>
          <w:sz w:val="22"/>
        </w:rPr>
        <w:t xml:space="preserve">eneral </w:t>
      </w:r>
      <w:r>
        <w:rPr>
          <w:rFonts w:cs="Times New Roman"/>
          <w:sz w:val="22"/>
        </w:rPr>
        <w:t>fund, f</w:t>
      </w:r>
      <w:r w:rsidRPr="009A6707">
        <w:rPr>
          <w:rFonts w:cs="Times New Roman"/>
          <w:sz w:val="22"/>
        </w:rPr>
        <w:t xml:space="preserve">ederal </w:t>
      </w:r>
      <w:r>
        <w:rPr>
          <w:rFonts w:cs="Times New Roman"/>
          <w:sz w:val="22"/>
        </w:rPr>
        <w:t>f</w:t>
      </w:r>
      <w:r w:rsidRPr="009A6707">
        <w:rPr>
          <w:rFonts w:cs="Times New Roman"/>
          <w:sz w:val="22"/>
        </w:rPr>
        <w:t xml:space="preserve">unds, or </w:t>
      </w:r>
      <w:r>
        <w:rPr>
          <w:rFonts w:cs="Times New Roman"/>
          <w:sz w:val="22"/>
        </w:rPr>
        <w:t>o</w:t>
      </w:r>
      <w:r w:rsidRPr="009A6707">
        <w:rPr>
          <w:rFonts w:cs="Times New Roman"/>
          <w:sz w:val="22"/>
        </w:rPr>
        <w:t xml:space="preserve">ther </w:t>
      </w:r>
      <w:r>
        <w:rPr>
          <w:rFonts w:cs="Times New Roman"/>
          <w:sz w:val="22"/>
        </w:rPr>
        <w:t>f</w:t>
      </w:r>
      <w:r w:rsidRPr="009A6707">
        <w:rPr>
          <w:rFonts w:cs="Times New Roman"/>
          <w:sz w:val="22"/>
        </w:rPr>
        <w:t>unds from this bill. The Department can administer the legislative changes with existing resources.</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9A6707">
        <w:rPr>
          <w:rFonts w:cs="Times New Roman"/>
          <w:b/>
          <w:sz w:val="22"/>
        </w:rPr>
        <w:t>State Reve</w:t>
      </w:r>
      <w:r w:rsidR="003D1A2B">
        <w:rPr>
          <w:rFonts w:cs="Times New Roman"/>
          <w:b/>
          <w:sz w:val="22"/>
        </w:rPr>
        <w:t>nue</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6707">
        <w:rPr>
          <w:rFonts w:cs="Times New Roman"/>
          <w:sz w:val="22"/>
        </w:rPr>
        <w:t xml:space="preserve">Currently, a taxpayer is allowed a nonrefundable tax credit if the taxpayer is engaged in manufacturing, warehousing, or distribution that uses South Carolina port facilities and increases its port cargo volume at these facilities by at least five percent in a calendar year over its base year port cargo volume. The maximum amount of tax credits allowed to all qualifying taxpayers pursuant to this section may not exceed $8,000,000 for each calendar year. A qualifying taxpayer may not receive more than $1,000,000 for each calendar year except as provided in Section 12-6-3375(B)(2). The amount of the credit is determined by the Coordinating Council for Economic Development (Council) of the Department of Commerce upon application by the taxpayer. The Council has sole discretion in allocating credits provided by this section, taking into consideration the following factors: </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Pr>
          <w:rFonts w:cs="Times New Roman"/>
          <w:sz w:val="22"/>
        </w:rPr>
        <w:tab/>
      </w:r>
      <w:r w:rsidRPr="009A6707">
        <w:rPr>
          <w:rFonts w:cs="Times New Roman"/>
          <w:sz w:val="22"/>
        </w:rPr>
        <w:t xml:space="preserve">(a) the amount of base year port cargo volume; </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Pr>
          <w:rFonts w:cs="Times New Roman"/>
          <w:sz w:val="22"/>
        </w:rPr>
        <w:tab/>
      </w:r>
      <w:r w:rsidRPr="009A6707">
        <w:rPr>
          <w:rFonts w:cs="Times New Roman"/>
          <w:sz w:val="22"/>
        </w:rPr>
        <w:t>(b) the total and percentage increase in port cargo volume; and</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Pr>
          <w:rFonts w:cs="Times New Roman"/>
          <w:sz w:val="22"/>
        </w:rPr>
        <w:tab/>
      </w:r>
      <w:r w:rsidRPr="009A6707">
        <w:rPr>
          <w:rFonts w:cs="Times New Roman"/>
          <w:sz w:val="22"/>
        </w:rPr>
        <w:t xml:space="preserve">(c) factors related to the economic benefit of the State or other factors. </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6707">
        <w:rPr>
          <w:rFonts w:cs="Times New Roman"/>
          <w:sz w:val="22"/>
        </w:rPr>
        <w:t xml:space="preserve">Any unused tax credits may be carried forward and claimed against income taxes in the next five succeeding taxable years. </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A6707">
        <w:rPr>
          <w:rFonts w:cs="Times New Roman"/>
          <w:b/>
          <w:sz w:val="22"/>
        </w:rPr>
        <w:t>Section 1.</w:t>
      </w:r>
      <w:r w:rsidRPr="009A6707">
        <w:rPr>
          <w:rFonts w:cs="Times New Roman"/>
          <w:sz w:val="22"/>
        </w:rPr>
        <w:t xml:space="preserve"> This section would amend Section 12-6-3375(A)(2) to increase the maximum amount of tax credits allowed to all qualifying taxpayers pursuant to this section from $8,000,000 for each calendar year to $15,000,000 for each calendar year. As shown in the table below, the aggregate tax credit limitation for all taxpayers has not changed since the effective date of the tax credit in tax year 2006. In fact, the $8,000,000 maximum aggregate limitation allowed all qualifying taxpayers in a calendar year has never been challenged. By raising the maximum aggregate tax credit limitation to $15,000,000 for all taxpayers, and by expanding the geographic footprint of where qualified port distribution facilities may locate as mentioned in Section 2 below, the port distribution </w:t>
      </w:r>
      <w:r w:rsidRPr="009A6707">
        <w:rPr>
          <w:rFonts w:cs="Times New Roman"/>
          <w:sz w:val="22"/>
        </w:rPr>
        <w:lastRenderedPageBreak/>
        <w:t>facilities may be able to attract additional capital investment and hire additional workers to be employed at its facilities.</w:t>
      </w:r>
    </w:p>
    <w:p w:rsidR="00643104"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18"/>
          <w:szCs w:val="18"/>
        </w:rPr>
      </w:pPr>
      <w:r w:rsidRPr="00F62FB2">
        <w:rPr>
          <w:b/>
          <w:sz w:val="18"/>
          <w:szCs w:val="18"/>
        </w:rPr>
        <w:t>South Carolina Port Cargo Volume Tax Credit</w:t>
      </w:r>
    </w:p>
    <w:p w:rsidR="00643104" w:rsidRPr="00F62FB2"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18"/>
          <w:szCs w:val="18"/>
        </w:rPr>
      </w:pPr>
      <w:r w:rsidRPr="00F62FB2">
        <w:rPr>
          <w:b/>
          <w:sz w:val="18"/>
          <w:szCs w:val="18"/>
        </w:rPr>
        <w:t>Program Limitations and Tax Credits Claimed</w:t>
      </w:r>
    </w:p>
    <w:p w:rsidR="00643104"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Default="00643104" w:rsidP="00643104">
      <w:pPr>
        <w:pStyle w:val="TableParagraph"/>
        <w:spacing w:before="3"/>
        <w:rPr>
          <w:rFonts w:ascii="Times New Roman" w:eastAsia="Times New Roman" w:hAnsi="Times New Roman" w:cs="Times New Roman"/>
          <w:b/>
          <w:bCs/>
          <w:sz w:val="19"/>
          <w:szCs w:val="19"/>
        </w:rPr>
      </w:pPr>
    </w:p>
    <w:p w:rsidR="00643104" w:rsidRPr="00F62FB2" w:rsidRDefault="00643104" w:rsidP="00643104">
      <w:pPr>
        <w:pStyle w:val="TableParagraph"/>
        <w:tabs>
          <w:tab w:val="left" w:pos="1080"/>
          <w:tab w:val="left" w:pos="1130"/>
          <w:tab w:val="left" w:pos="1999"/>
          <w:tab w:val="left" w:pos="3465"/>
          <w:tab w:val="left" w:pos="4320"/>
          <w:tab w:val="left" w:pos="4500"/>
          <w:tab w:val="left" w:pos="4950"/>
        </w:tabs>
        <w:ind w:left="90"/>
        <w:rPr>
          <w:rFonts w:ascii="Times New Roman" w:eastAsia="Times New Roman" w:hAnsi="Times New Roman" w:cs="Times New Roman"/>
          <w:sz w:val="14"/>
          <w:szCs w:val="14"/>
        </w:rPr>
      </w:pPr>
      <w:r w:rsidRPr="00F62FB2">
        <w:rPr>
          <w:rFonts w:ascii="Times New Roman"/>
          <w:b/>
          <w:w w:val="95"/>
          <w:sz w:val="14"/>
          <w:szCs w:val="14"/>
        </w:rPr>
        <w:t>Tax</w:t>
      </w:r>
      <w:r w:rsidRPr="00F62FB2">
        <w:rPr>
          <w:rFonts w:ascii="Times New Roman"/>
          <w:b/>
          <w:w w:val="95"/>
          <w:sz w:val="14"/>
          <w:szCs w:val="14"/>
        </w:rPr>
        <w:tab/>
      </w:r>
      <w:r w:rsidRPr="00F62FB2">
        <w:rPr>
          <w:rFonts w:ascii="Times New Roman"/>
          <w:b/>
          <w:spacing w:val="-1"/>
          <w:sz w:val="14"/>
          <w:szCs w:val="14"/>
        </w:rPr>
        <w:t>Fiscal</w:t>
      </w:r>
      <w:r w:rsidRPr="00F62FB2">
        <w:rPr>
          <w:rFonts w:ascii="Times New Roman"/>
          <w:b/>
          <w:spacing w:val="-1"/>
          <w:sz w:val="14"/>
          <w:szCs w:val="14"/>
        </w:rPr>
        <w:tab/>
        <w:t>Maximum</w:t>
      </w:r>
      <w:r w:rsidRPr="00F62FB2">
        <w:rPr>
          <w:rFonts w:ascii="Times New Roman"/>
          <w:b/>
          <w:spacing w:val="36"/>
          <w:sz w:val="14"/>
          <w:szCs w:val="14"/>
        </w:rPr>
        <w:t xml:space="preserve"> </w:t>
      </w:r>
      <w:r w:rsidRPr="00F62FB2">
        <w:rPr>
          <w:rFonts w:ascii="Times New Roman"/>
          <w:b/>
          <w:spacing w:val="-1"/>
          <w:sz w:val="14"/>
          <w:szCs w:val="14"/>
        </w:rPr>
        <w:t>Credit</w:t>
      </w:r>
      <w:r w:rsidRPr="00F62FB2">
        <w:rPr>
          <w:rFonts w:ascii="Times New Roman"/>
          <w:b/>
          <w:spacing w:val="-1"/>
          <w:sz w:val="14"/>
          <w:szCs w:val="14"/>
        </w:rPr>
        <w:tab/>
        <w:t>Maximum</w:t>
      </w:r>
      <w:r w:rsidRPr="00F62FB2">
        <w:rPr>
          <w:rFonts w:ascii="Times New Roman"/>
          <w:b/>
          <w:spacing w:val="37"/>
          <w:sz w:val="14"/>
          <w:szCs w:val="14"/>
        </w:rPr>
        <w:t xml:space="preserve"> </w:t>
      </w:r>
      <w:r w:rsidRPr="00F62FB2">
        <w:rPr>
          <w:rFonts w:ascii="Times New Roman"/>
          <w:b/>
          <w:spacing w:val="-1"/>
          <w:sz w:val="14"/>
          <w:szCs w:val="14"/>
        </w:rPr>
        <w:t>Credit</w:t>
      </w:r>
      <w:r>
        <w:rPr>
          <w:rFonts w:ascii="Times New Roman"/>
          <w:b/>
          <w:spacing w:val="-1"/>
          <w:sz w:val="14"/>
          <w:szCs w:val="14"/>
        </w:rPr>
        <w:tab/>
      </w:r>
      <w:r>
        <w:rPr>
          <w:rFonts w:ascii="Times New Roman"/>
          <w:b/>
          <w:spacing w:val="-1"/>
          <w:sz w:val="14"/>
          <w:szCs w:val="14"/>
        </w:rPr>
        <w:tab/>
      </w:r>
      <w:r w:rsidRPr="00F62FB2">
        <w:rPr>
          <w:rFonts w:ascii="Times New Roman"/>
          <w:b/>
          <w:spacing w:val="-1"/>
          <w:sz w:val="14"/>
          <w:szCs w:val="14"/>
        </w:rPr>
        <w:t>Aggregate</w:t>
      </w:r>
      <w:r w:rsidRPr="00F62FB2">
        <w:rPr>
          <w:rFonts w:ascii="Times New Roman"/>
          <w:b/>
          <w:spacing w:val="28"/>
          <w:w w:val="103"/>
          <w:sz w:val="14"/>
          <w:szCs w:val="14"/>
        </w:rPr>
        <w:t xml:space="preserve"> </w:t>
      </w:r>
    </w:p>
    <w:p w:rsidR="00643104" w:rsidRPr="00F62FB2" w:rsidRDefault="00643104" w:rsidP="00643104">
      <w:pPr>
        <w:pStyle w:val="TableParagraph"/>
        <w:tabs>
          <w:tab w:val="left" w:pos="2070"/>
          <w:tab w:val="left" w:pos="3510"/>
          <w:tab w:val="left" w:pos="4140"/>
          <w:tab w:val="left" w:pos="4320"/>
          <w:tab w:val="left" w:pos="4950"/>
        </w:tabs>
        <w:spacing w:before="10" w:line="299" w:lineRule="auto"/>
        <w:ind w:left="95" w:right="10" w:hanging="5"/>
        <w:rPr>
          <w:rFonts w:ascii="Times New Roman"/>
          <w:spacing w:val="23"/>
          <w:w w:val="103"/>
          <w:sz w:val="14"/>
          <w:szCs w:val="14"/>
        </w:rPr>
      </w:pPr>
      <w:r w:rsidRPr="00F62FB2">
        <w:rPr>
          <w:rFonts w:ascii="Times New Roman"/>
          <w:b/>
          <w:sz w:val="14"/>
          <w:szCs w:val="14"/>
        </w:rPr>
        <w:tab/>
      </w:r>
      <w:r w:rsidRPr="00F62FB2">
        <w:rPr>
          <w:rFonts w:ascii="Times New Roman"/>
          <w:spacing w:val="-1"/>
          <w:sz w:val="14"/>
          <w:szCs w:val="14"/>
        </w:rPr>
        <w:t>Year</w:t>
      </w:r>
      <w:r w:rsidRPr="00F62FB2">
        <w:rPr>
          <w:rFonts w:ascii="Times New Roman"/>
          <w:sz w:val="14"/>
          <w:szCs w:val="14"/>
        </w:rPr>
        <w:tab/>
      </w:r>
      <w:r w:rsidRPr="00F62FB2">
        <w:rPr>
          <w:rFonts w:ascii="Times New Roman"/>
          <w:spacing w:val="-1"/>
          <w:w w:val="103"/>
          <w:sz w:val="14"/>
          <w:szCs w:val="14"/>
        </w:rPr>
        <w:t>Single</w:t>
      </w:r>
      <w:r w:rsidRPr="00F62FB2">
        <w:rPr>
          <w:rFonts w:ascii="Times New Roman"/>
          <w:spacing w:val="1"/>
          <w:sz w:val="14"/>
          <w:szCs w:val="14"/>
        </w:rPr>
        <w:t xml:space="preserve"> </w:t>
      </w:r>
      <w:r w:rsidRPr="00F62FB2">
        <w:rPr>
          <w:rFonts w:ascii="Times New Roman"/>
          <w:spacing w:val="-1"/>
          <w:w w:val="103"/>
          <w:sz w:val="14"/>
          <w:szCs w:val="14"/>
        </w:rPr>
        <w:t>Taxpayer</w:t>
      </w:r>
      <w:r w:rsidRPr="00F62FB2">
        <w:rPr>
          <w:rFonts w:ascii="Times New Roman"/>
          <w:sz w:val="14"/>
          <w:szCs w:val="14"/>
        </w:rPr>
        <w:tab/>
      </w:r>
      <w:r w:rsidRPr="00F62FB2">
        <w:rPr>
          <w:rFonts w:ascii="Times New Roman"/>
          <w:spacing w:val="-1"/>
          <w:w w:val="103"/>
          <w:sz w:val="14"/>
          <w:szCs w:val="14"/>
        </w:rPr>
        <w:t>All</w:t>
      </w:r>
      <w:r w:rsidRPr="00F62FB2">
        <w:rPr>
          <w:rFonts w:ascii="Times New Roman"/>
          <w:spacing w:val="2"/>
          <w:sz w:val="14"/>
          <w:szCs w:val="14"/>
        </w:rPr>
        <w:t xml:space="preserve"> </w:t>
      </w:r>
      <w:r w:rsidRPr="00F62FB2">
        <w:rPr>
          <w:rFonts w:ascii="Times New Roman"/>
          <w:spacing w:val="-1"/>
          <w:w w:val="103"/>
          <w:sz w:val="14"/>
          <w:szCs w:val="14"/>
        </w:rPr>
        <w:t>Taxpayers</w:t>
      </w:r>
      <w:r w:rsidRPr="00F62FB2">
        <w:rPr>
          <w:rFonts w:ascii="Times New Roman" w:eastAsia="Times New Roman" w:hAnsi="Times New Roman" w:cs="Times New Roman"/>
          <w:sz w:val="14"/>
          <w:szCs w:val="14"/>
        </w:rPr>
        <w:tab/>
      </w:r>
      <w:r w:rsidRPr="00F62FB2">
        <w:rPr>
          <w:rFonts w:ascii="Times New Roman" w:eastAsia="Times New Roman" w:hAnsi="Times New Roman" w:cs="Times New Roman"/>
          <w:sz w:val="14"/>
          <w:szCs w:val="14"/>
        </w:rPr>
        <w:tab/>
      </w:r>
      <w:r w:rsidR="005F2681" w:rsidRPr="00F62FB2">
        <w:rPr>
          <w:rFonts w:ascii="Times New Roman"/>
          <w:spacing w:val="-1"/>
          <w:w w:val="105"/>
          <w:sz w:val="14"/>
          <w:szCs w:val="14"/>
        </w:rPr>
        <w:t>Credit Claimed</w:t>
      </w:r>
      <w:r w:rsidRPr="00F62FB2">
        <w:rPr>
          <w:rFonts w:ascii="Times New Roman"/>
          <w:spacing w:val="23"/>
          <w:w w:val="103"/>
          <w:sz w:val="14"/>
          <w:szCs w:val="14"/>
        </w:rPr>
        <w:t xml:space="preserve"> </w:t>
      </w:r>
    </w:p>
    <w:p w:rsidR="00643104" w:rsidRPr="00F62FB2" w:rsidRDefault="00643104" w:rsidP="00643104">
      <w:pPr>
        <w:pStyle w:val="TableParagraph"/>
        <w:tabs>
          <w:tab w:val="left" w:pos="2070"/>
          <w:tab w:val="left" w:pos="3510"/>
          <w:tab w:val="left" w:pos="4320"/>
          <w:tab w:val="left" w:pos="4950"/>
        </w:tabs>
        <w:spacing w:before="10" w:line="299" w:lineRule="auto"/>
        <w:ind w:left="4950" w:right="10" w:hanging="4860"/>
        <w:rPr>
          <w:rFonts w:ascii="Times New Roman" w:eastAsia="Times New Roman" w:hAnsi="Times New Roman" w:cs="Times New Roman"/>
          <w:sz w:val="14"/>
          <w:szCs w:val="14"/>
        </w:rPr>
      </w:pPr>
      <w:r w:rsidRPr="00F62FB2">
        <w:rPr>
          <w:rFonts w:ascii="Times New Roman"/>
          <w:w w:val="105"/>
          <w:sz w:val="14"/>
          <w:szCs w:val="14"/>
        </w:rPr>
        <w:tab/>
      </w:r>
      <w:r w:rsidRPr="00F62FB2">
        <w:rPr>
          <w:rFonts w:ascii="Times New Roman"/>
          <w:w w:val="105"/>
          <w:sz w:val="14"/>
          <w:szCs w:val="14"/>
        </w:rPr>
        <w:tab/>
      </w:r>
      <w:r w:rsidRPr="00F62FB2">
        <w:rPr>
          <w:rFonts w:ascii="Times New Roman"/>
          <w:w w:val="105"/>
          <w:sz w:val="14"/>
          <w:szCs w:val="14"/>
        </w:rPr>
        <w:tab/>
      </w:r>
      <w:r w:rsidRPr="00F62FB2">
        <w:rPr>
          <w:rFonts w:ascii="Times New Roman"/>
          <w:w w:val="105"/>
          <w:sz w:val="14"/>
          <w:szCs w:val="14"/>
        </w:rPr>
        <w:tab/>
        <w:t>By</w:t>
      </w:r>
      <w:r w:rsidRPr="00F62FB2">
        <w:rPr>
          <w:rFonts w:ascii="Times New Roman"/>
          <w:spacing w:val="-12"/>
          <w:w w:val="105"/>
          <w:sz w:val="14"/>
          <w:szCs w:val="14"/>
        </w:rPr>
        <w:t xml:space="preserve"> </w:t>
      </w:r>
      <w:r w:rsidRPr="00F62FB2">
        <w:rPr>
          <w:rFonts w:ascii="Times New Roman"/>
          <w:spacing w:val="-1"/>
          <w:w w:val="105"/>
          <w:sz w:val="14"/>
          <w:szCs w:val="14"/>
        </w:rPr>
        <w:t>All</w:t>
      </w:r>
      <w:r w:rsidRPr="00F62FB2">
        <w:rPr>
          <w:rFonts w:ascii="Times New Roman"/>
          <w:spacing w:val="-12"/>
          <w:w w:val="105"/>
          <w:sz w:val="14"/>
          <w:szCs w:val="14"/>
        </w:rPr>
        <w:t xml:space="preserve"> </w:t>
      </w:r>
      <w:r w:rsidRPr="00F62FB2">
        <w:rPr>
          <w:rFonts w:ascii="Times New Roman"/>
          <w:spacing w:val="-1"/>
          <w:w w:val="105"/>
          <w:sz w:val="14"/>
          <w:szCs w:val="14"/>
        </w:rPr>
        <w:t>Taxpayers</w:t>
      </w:r>
    </w:p>
    <w:p w:rsidR="00643104" w:rsidRPr="00F62FB2" w:rsidRDefault="00643104" w:rsidP="00643104">
      <w:pPr>
        <w:pStyle w:val="TableParagraph"/>
        <w:spacing w:before="3"/>
        <w:rPr>
          <w:rFonts w:ascii="Times New Roman" w:eastAsia="Times New Roman" w:hAnsi="Times New Roman" w:cs="Times New Roman"/>
          <w:bCs/>
          <w:sz w:val="14"/>
          <w:szCs w:val="14"/>
        </w:rPr>
      </w:pPr>
    </w:p>
    <w:p w:rsidR="00643104" w:rsidRPr="00F62FB2" w:rsidRDefault="00643104" w:rsidP="00643104">
      <w:pPr>
        <w:pStyle w:val="TableParagraph"/>
        <w:tabs>
          <w:tab w:val="left" w:pos="180"/>
          <w:tab w:val="left" w:pos="1080"/>
          <w:tab w:val="left" w:pos="2070"/>
          <w:tab w:val="left" w:pos="2700"/>
          <w:tab w:val="left" w:pos="3510"/>
          <w:tab w:val="left" w:pos="4950"/>
        </w:tabs>
        <w:spacing w:before="3"/>
        <w:rPr>
          <w:rFonts w:ascii="Times New Roman" w:eastAsia="Times New Roman" w:hAnsi="Times New Roman" w:cs="Times New Roman"/>
          <w:bCs/>
          <w:sz w:val="14"/>
          <w:szCs w:val="14"/>
        </w:rPr>
      </w:pPr>
      <w:r w:rsidRPr="00F62FB2">
        <w:rPr>
          <w:rFonts w:ascii="Times New Roman"/>
          <w:sz w:val="14"/>
          <w:szCs w:val="14"/>
        </w:rPr>
        <w:t>2006</w:t>
      </w:r>
      <w:r w:rsidRPr="00F62FB2">
        <w:rPr>
          <w:rFonts w:ascii="Times New Roman"/>
          <w:sz w:val="14"/>
          <w:szCs w:val="14"/>
        </w:rPr>
        <w:tab/>
      </w:r>
      <w:r w:rsidRPr="00F62FB2">
        <w:rPr>
          <w:rFonts w:ascii="Times New Roman"/>
          <w:spacing w:val="-1"/>
          <w:sz w:val="14"/>
          <w:szCs w:val="14"/>
        </w:rPr>
        <w:t xml:space="preserve">FY </w:t>
      </w:r>
      <w:r w:rsidRPr="00F62FB2">
        <w:rPr>
          <w:rFonts w:ascii="Times New Roman"/>
          <w:sz w:val="14"/>
          <w:szCs w:val="14"/>
        </w:rPr>
        <w:t>2007</w:t>
      </w:r>
      <w:r w:rsidRPr="00F62FB2">
        <w:rPr>
          <w:rFonts w:ascii="Times New Roman" w:eastAsia="Times New Roman" w:hAnsi="Times New Roman" w:cs="Times New Roman"/>
          <w:sz w:val="14"/>
          <w:szCs w:val="14"/>
        </w:rPr>
        <w:tab/>
      </w:r>
      <w:r w:rsidRPr="00F62FB2">
        <w:rPr>
          <w:rFonts w:ascii="Times New Roman"/>
          <w:sz w:val="14"/>
          <w:szCs w:val="14"/>
        </w:rPr>
        <w:t>$1,000,000</w:t>
      </w:r>
      <w:r w:rsidRPr="00F62FB2">
        <w:rPr>
          <w:rFonts w:ascii="Times New Roman" w:eastAsia="Times New Roman" w:hAnsi="Times New Roman" w:cs="Times New Roman"/>
          <w:sz w:val="14"/>
          <w:szCs w:val="14"/>
        </w:rPr>
        <w:tab/>
      </w:r>
      <w:r w:rsidRPr="00F62FB2">
        <w:rPr>
          <w:rFonts w:ascii="Times New Roman"/>
          <w:sz w:val="14"/>
          <w:szCs w:val="14"/>
        </w:rPr>
        <w:t>$8,000,000</w:t>
      </w:r>
      <w:r w:rsidRPr="00F62FB2">
        <w:rPr>
          <w:rFonts w:ascii="Times New Roman" w:eastAsia="Times New Roman" w:hAnsi="Times New Roman" w:cs="Times New Roman"/>
          <w:sz w:val="14"/>
          <w:szCs w:val="14"/>
        </w:rPr>
        <w:tab/>
      </w:r>
      <w:r w:rsidRPr="00F62FB2">
        <w:rPr>
          <w:rFonts w:ascii="Times New Roman" w:eastAsia="Times New Roman" w:hAnsi="Times New Roman" w:cs="Times New Roman"/>
          <w:bCs/>
          <w:sz w:val="14"/>
          <w:szCs w:val="14"/>
        </w:rPr>
        <w:tab/>
      </w:r>
      <w:r w:rsidRPr="00F62FB2">
        <w:rPr>
          <w:rFonts w:ascii="Times New Roman"/>
          <w:sz w:val="14"/>
          <w:szCs w:val="14"/>
        </w:rPr>
        <w:t>$57,249</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2007</w:t>
      </w:r>
      <w:r w:rsidRPr="00F62FB2">
        <w:rPr>
          <w:rFonts w:ascii="Times New Roman"/>
          <w:sz w:val="14"/>
          <w:szCs w:val="14"/>
        </w:rPr>
        <w:tab/>
        <w:t>FY 2008</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$153,508</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2008</w:t>
      </w:r>
      <w:r w:rsidRPr="00F62FB2">
        <w:rPr>
          <w:rFonts w:ascii="Times New Roman"/>
          <w:sz w:val="14"/>
          <w:szCs w:val="14"/>
        </w:rPr>
        <w:tab/>
        <w:t>FY 2009</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$1,744,481</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2009</w:t>
      </w:r>
      <w:r w:rsidRPr="00F62FB2">
        <w:rPr>
          <w:rFonts w:ascii="Times New Roman"/>
          <w:sz w:val="14"/>
          <w:szCs w:val="14"/>
        </w:rPr>
        <w:tab/>
        <w:t>FY 2010</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$4,298,067</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2010</w:t>
      </w:r>
      <w:r w:rsidRPr="00F62FB2">
        <w:rPr>
          <w:rFonts w:ascii="Times New Roman"/>
          <w:sz w:val="14"/>
          <w:szCs w:val="14"/>
        </w:rPr>
        <w:tab/>
        <w:t>FY 2011</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$417,563</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2011</w:t>
      </w:r>
      <w:r w:rsidRPr="00F62FB2">
        <w:rPr>
          <w:rFonts w:ascii="Times New Roman"/>
          <w:sz w:val="14"/>
          <w:szCs w:val="14"/>
        </w:rPr>
        <w:tab/>
        <w:t>FY 2012</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$2,132,125</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2012</w:t>
      </w:r>
      <w:r w:rsidRPr="00F62FB2">
        <w:rPr>
          <w:rFonts w:ascii="Times New Roman"/>
          <w:sz w:val="14"/>
          <w:szCs w:val="14"/>
        </w:rPr>
        <w:tab/>
        <w:t>FY 2013</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$1,408,307</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2013</w:t>
      </w:r>
      <w:r w:rsidRPr="00F62FB2">
        <w:rPr>
          <w:rFonts w:ascii="Times New Roman"/>
          <w:sz w:val="14"/>
          <w:szCs w:val="14"/>
        </w:rPr>
        <w:tab/>
        <w:t>FY 2014</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$812,308</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2014</w:t>
      </w:r>
      <w:r w:rsidRPr="00F62FB2">
        <w:rPr>
          <w:rFonts w:ascii="Times New Roman"/>
          <w:sz w:val="14"/>
          <w:szCs w:val="14"/>
        </w:rPr>
        <w:tab/>
        <w:t>FY 2015</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$2,021,225</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2015</w:t>
      </w:r>
      <w:r w:rsidRPr="00F62FB2">
        <w:rPr>
          <w:rFonts w:ascii="Times New Roman"/>
          <w:sz w:val="14"/>
          <w:szCs w:val="14"/>
        </w:rPr>
        <w:tab/>
        <w:t>FY 2016</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$423,159</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2016</w:t>
      </w:r>
      <w:r w:rsidRPr="00F62FB2">
        <w:rPr>
          <w:rFonts w:ascii="Times New Roman"/>
          <w:sz w:val="14"/>
          <w:szCs w:val="14"/>
        </w:rPr>
        <w:tab/>
        <w:t>FY 2017</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N/A</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2017</w:t>
      </w:r>
      <w:r w:rsidRPr="00F62FB2">
        <w:rPr>
          <w:rFonts w:ascii="Times New Roman"/>
          <w:sz w:val="14"/>
          <w:szCs w:val="14"/>
        </w:rPr>
        <w:tab/>
        <w:t>FY 2018</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N/A</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2018</w:t>
      </w:r>
      <w:r w:rsidRPr="00F62FB2">
        <w:rPr>
          <w:rFonts w:ascii="Times New Roman"/>
          <w:sz w:val="14"/>
          <w:szCs w:val="14"/>
        </w:rPr>
        <w:tab/>
        <w:t>FY 2019</w:t>
      </w:r>
      <w:r w:rsidRPr="00F62FB2">
        <w:rPr>
          <w:rFonts w:ascii="Times New Roman"/>
          <w:sz w:val="14"/>
          <w:szCs w:val="14"/>
        </w:rPr>
        <w:tab/>
        <w:t>$1,000,000</w:t>
      </w:r>
      <w:r w:rsidRPr="00F62FB2">
        <w:rPr>
          <w:rFonts w:ascii="Times New Roman"/>
          <w:sz w:val="14"/>
          <w:szCs w:val="14"/>
        </w:rPr>
        <w:tab/>
        <w:t>$8,000,000</w:t>
      </w:r>
      <w:r w:rsidRPr="00F62FB2">
        <w:rPr>
          <w:rFonts w:ascii="Times New Roman"/>
          <w:sz w:val="14"/>
          <w:szCs w:val="14"/>
        </w:rPr>
        <w:tab/>
        <w:t>N/A</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2019</w:t>
      </w:r>
      <w:r w:rsidRPr="00F62FB2">
        <w:rPr>
          <w:rFonts w:ascii="Times New Roman"/>
          <w:sz w:val="14"/>
          <w:szCs w:val="14"/>
        </w:rPr>
        <w:tab/>
        <w:t>FY 2020</w:t>
      </w:r>
      <w:r w:rsidRPr="00F62FB2">
        <w:rPr>
          <w:rFonts w:ascii="Times New Roman"/>
          <w:sz w:val="14"/>
          <w:szCs w:val="14"/>
        </w:rPr>
        <w:tab/>
        <w:t>$1,000,000</w:t>
      </w:r>
      <w:r w:rsidRPr="00F62FB2">
        <w:rPr>
          <w:rFonts w:ascii="Times New Roman"/>
          <w:sz w:val="14"/>
          <w:szCs w:val="14"/>
        </w:rPr>
        <w:tab/>
        <w:t>$15,000,000</w:t>
      </w:r>
      <w:r w:rsidRPr="00F62FB2">
        <w:rPr>
          <w:rFonts w:ascii="Times New Roman"/>
          <w:sz w:val="14"/>
          <w:szCs w:val="14"/>
        </w:rPr>
        <w:tab/>
        <w:t>N/A</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2020</w:t>
      </w:r>
      <w:r w:rsidRPr="00F62FB2">
        <w:rPr>
          <w:rFonts w:ascii="Times New Roman"/>
          <w:sz w:val="14"/>
          <w:szCs w:val="14"/>
        </w:rPr>
        <w:tab/>
        <w:t>FY 2021</w:t>
      </w:r>
      <w:r w:rsidRPr="00F62FB2">
        <w:rPr>
          <w:rFonts w:ascii="Times New Roman"/>
          <w:sz w:val="14"/>
          <w:szCs w:val="14"/>
        </w:rPr>
        <w:tab/>
        <w:t>$1,000,000</w:t>
      </w:r>
      <w:r w:rsidRPr="00F62FB2">
        <w:rPr>
          <w:rFonts w:ascii="Times New Roman"/>
          <w:sz w:val="14"/>
          <w:szCs w:val="14"/>
        </w:rPr>
        <w:tab/>
        <w:t>$15,000,000</w:t>
      </w:r>
      <w:r w:rsidRPr="00F62FB2">
        <w:rPr>
          <w:rFonts w:ascii="Times New Roman"/>
          <w:sz w:val="14"/>
          <w:szCs w:val="14"/>
        </w:rPr>
        <w:tab/>
        <w:t>N/A</w:t>
      </w:r>
    </w:p>
    <w:p w:rsidR="00643104" w:rsidRPr="00F62FB2" w:rsidRDefault="00643104" w:rsidP="00643104">
      <w:pPr>
        <w:pStyle w:val="TableParagraph"/>
        <w:tabs>
          <w:tab w:val="left" w:pos="180"/>
          <w:tab w:val="left" w:pos="1080"/>
          <w:tab w:val="left" w:pos="2070"/>
          <w:tab w:val="left" w:pos="2700"/>
          <w:tab w:val="left" w:pos="3510"/>
          <w:tab w:val="left" w:pos="4959"/>
        </w:tabs>
        <w:spacing w:before="3"/>
        <w:rPr>
          <w:rFonts w:ascii="Times New Roman"/>
          <w:sz w:val="14"/>
          <w:szCs w:val="14"/>
        </w:rPr>
      </w:pPr>
      <w:r w:rsidRPr="00F62FB2">
        <w:rPr>
          <w:rFonts w:ascii="Times New Roman"/>
          <w:sz w:val="14"/>
          <w:szCs w:val="14"/>
        </w:rPr>
        <w:t>2021</w:t>
      </w:r>
      <w:r w:rsidRPr="00F62FB2">
        <w:rPr>
          <w:rFonts w:ascii="Times New Roman"/>
          <w:sz w:val="14"/>
          <w:szCs w:val="14"/>
        </w:rPr>
        <w:tab/>
        <w:t>FY 2022</w:t>
      </w:r>
      <w:r w:rsidRPr="00F62FB2">
        <w:rPr>
          <w:rFonts w:ascii="Times New Roman"/>
          <w:sz w:val="14"/>
          <w:szCs w:val="14"/>
        </w:rPr>
        <w:tab/>
        <w:t>$1,000,000</w:t>
      </w:r>
      <w:r w:rsidRPr="00F62FB2">
        <w:rPr>
          <w:rFonts w:ascii="Times New Roman"/>
          <w:sz w:val="14"/>
          <w:szCs w:val="14"/>
        </w:rPr>
        <w:tab/>
        <w:t>$15,000,000</w:t>
      </w:r>
      <w:r w:rsidRPr="00F62FB2">
        <w:rPr>
          <w:rFonts w:ascii="Times New Roman"/>
          <w:sz w:val="14"/>
          <w:szCs w:val="14"/>
        </w:rPr>
        <w:tab/>
        <w:t>N/A</w:t>
      </w:r>
    </w:p>
    <w:p w:rsidR="00643104" w:rsidRPr="00F62FB2" w:rsidRDefault="00643104" w:rsidP="00643104">
      <w:pPr>
        <w:pStyle w:val="TableParagraph"/>
        <w:tabs>
          <w:tab w:val="left" w:pos="180"/>
          <w:tab w:val="left" w:pos="1080"/>
          <w:tab w:val="left" w:pos="2070"/>
          <w:tab w:val="left" w:pos="2700"/>
          <w:tab w:val="left" w:pos="3510"/>
          <w:tab w:val="left" w:pos="4950"/>
        </w:tabs>
        <w:spacing w:before="3"/>
        <w:rPr>
          <w:rFonts w:ascii="Times New Roman"/>
          <w:sz w:val="14"/>
          <w:szCs w:val="14"/>
        </w:rPr>
      </w:pPr>
    </w:p>
    <w:p w:rsidR="00643104" w:rsidRPr="00F62FB2" w:rsidRDefault="00643104" w:rsidP="00643104">
      <w:pPr>
        <w:pStyle w:val="TableParagraph"/>
        <w:tabs>
          <w:tab w:val="left" w:pos="1440"/>
          <w:tab w:val="left" w:pos="4950"/>
          <w:tab w:val="left" w:pos="5040"/>
        </w:tabs>
        <w:spacing w:before="5"/>
        <w:rPr>
          <w:rFonts w:ascii="Times New Roman" w:eastAsia="Times New Roman" w:hAnsi="Times New Roman" w:cs="Times New Roman"/>
          <w:b/>
          <w:bCs/>
          <w:sz w:val="14"/>
          <w:szCs w:val="14"/>
        </w:rPr>
      </w:pPr>
      <w:r w:rsidRPr="00F62FB2">
        <w:rPr>
          <w:rFonts w:ascii="Times New Roman"/>
          <w:spacing w:val="-1"/>
          <w:sz w:val="14"/>
          <w:szCs w:val="14"/>
        </w:rPr>
        <w:t>Total</w:t>
      </w:r>
      <w:r w:rsidRPr="00F62FB2">
        <w:rPr>
          <w:rFonts w:ascii="Times New Roman"/>
          <w:sz w:val="14"/>
          <w:szCs w:val="14"/>
        </w:rPr>
        <w:t xml:space="preserve"> Tax </w:t>
      </w:r>
      <w:r w:rsidRPr="00F62FB2">
        <w:rPr>
          <w:rFonts w:ascii="Times New Roman"/>
          <w:spacing w:val="-1"/>
          <w:sz w:val="14"/>
          <w:szCs w:val="14"/>
        </w:rPr>
        <w:t>Credits</w:t>
      </w:r>
      <w:r w:rsidRPr="00F62FB2">
        <w:rPr>
          <w:rFonts w:ascii="Times New Roman"/>
          <w:sz w:val="14"/>
          <w:szCs w:val="14"/>
        </w:rPr>
        <w:t xml:space="preserve"> </w:t>
      </w:r>
      <w:r w:rsidRPr="00F62FB2">
        <w:rPr>
          <w:rFonts w:ascii="Times New Roman"/>
          <w:spacing w:val="-1"/>
          <w:sz w:val="14"/>
          <w:szCs w:val="14"/>
        </w:rPr>
        <w:t>Claimed</w:t>
      </w:r>
      <w:r w:rsidRPr="00F62FB2">
        <w:rPr>
          <w:rFonts w:ascii="Times New Roman" w:eastAsia="Times New Roman" w:hAnsi="Times New Roman" w:cs="Times New Roman"/>
          <w:sz w:val="14"/>
          <w:szCs w:val="14"/>
        </w:rPr>
        <w:tab/>
      </w:r>
      <w:r w:rsidRPr="00F62FB2">
        <w:rPr>
          <w:rFonts w:ascii="Times New Roman"/>
          <w:sz w:val="14"/>
          <w:szCs w:val="14"/>
        </w:rPr>
        <w:t>$13,467,992</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A6707">
        <w:rPr>
          <w:rFonts w:cs="Times New Roman"/>
          <w:b/>
          <w:sz w:val="22"/>
        </w:rPr>
        <w:t>Section 2.</w:t>
      </w:r>
      <w:r w:rsidRPr="009A6707">
        <w:rPr>
          <w:rFonts w:cs="Times New Roman"/>
          <w:sz w:val="22"/>
        </w:rPr>
        <w:t xml:space="preserve"> This section would add an appropriately numbered subsection to allow a taxpayer engaged in a port distribution facility in the counties of Allendale, Bamberg, Beaufort, Hampton, Jasper, or Orangeburg to claim a nonrefundable port transportation credit. The credit would be claimed against income taxes or as a credit against employee withholding for its transportation costs in an amount determined by the Council in its sole discretion. Transportation costs are defined as the costs of transporting freight, goods, and materials to and from port facilities in South Carolina.</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6707">
        <w:rPr>
          <w:rFonts w:cs="Times New Roman"/>
          <w:sz w:val="22"/>
        </w:rPr>
        <w:t>The maximum amount of port transportation credits allowed to all qualifying taxpayers is limited to the following schedule:</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9A6707">
        <w:rPr>
          <w:rFonts w:cs="Times New Roman"/>
          <w:sz w:val="22"/>
        </w:rPr>
        <w:t>$1,000,000 for the calendar year ending December 31, 2019</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9A6707">
        <w:rPr>
          <w:rFonts w:cs="Times New Roman"/>
          <w:sz w:val="22"/>
        </w:rPr>
        <w:t>$2,000,000 for the calendar year ending December 31, 2020</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9A6707">
        <w:rPr>
          <w:rFonts w:cs="Times New Roman"/>
          <w:sz w:val="22"/>
        </w:rPr>
        <w:t xml:space="preserve">$3,000,000 for the calendar year ending December 31, 2021, until the port transportation credit expires pursuant to item (6). This item indicates that the port transportation credit expires </w:t>
      </w:r>
      <w:r w:rsidRPr="009A6707">
        <w:rPr>
          <w:rFonts w:cs="Times New Roman"/>
          <w:sz w:val="22"/>
        </w:rPr>
        <w:lastRenderedPageBreak/>
        <w:t>effective at the end of the calendar year in which a port in Jasper County is opened and is accepting shipments.</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6707">
        <w:rPr>
          <w:rFonts w:cs="Times New Roman"/>
          <w:sz w:val="22"/>
        </w:rPr>
        <w:t xml:space="preserve">The amount of any port transportation credits claimed would be applied against the maximum aggregate amount of $15,000,000 in tax credits allowed to all qualifying taxpayers in a calendar year. Any excess tax credit amounts may be carried forward and claimed against income taxes in the next five succeeding taxable years. Any excess tax credit amounts may also be carried forward and claimed against income tax withholding for the next twenty succeeding taxable quarters. </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A6707">
        <w:rPr>
          <w:rFonts w:cs="Times New Roman"/>
          <w:b/>
          <w:sz w:val="22"/>
        </w:rPr>
        <w:t>Section 3.</w:t>
      </w:r>
      <w:r w:rsidRPr="009A6707">
        <w:rPr>
          <w:rFonts w:cs="Times New Roman"/>
          <w:sz w:val="22"/>
        </w:rPr>
        <w:t xml:space="preserve"> This section would add Section 12-36-2140 to define the term “distribution facility” as a port facility as defined in Section 12-6-3375. A “port facility” means any publicly or privately-owned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A6707">
        <w:rPr>
          <w:rFonts w:cs="Times New Roman"/>
          <w:sz w:val="22"/>
        </w:rPr>
        <w:t xml:space="preserve">The South Carolina State Ports Authority processed more than 2,300,000 shipping containers in calendar year 2018, and has realized an average annual growth rate of 7.7 percent over the past five years. We expect this growth to continue into the future. By permitting a “distribution facility” to be defined as a “port facility” and thus being permitted to claim a nonrefundable port transportation tax credit, it is not unreasonable to expect that annual capital investments and the hiring of labor at a port distribution facility may increase in the future with taxpayers claiming an additional $1,000,000 in port transportation tax credits per tax year. This bill, therefore, would reduce </w:t>
      </w:r>
      <w:r>
        <w:rPr>
          <w:rFonts w:cs="Times New Roman"/>
          <w:sz w:val="22"/>
        </w:rPr>
        <w:t>g</w:t>
      </w:r>
      <w:r w:rsidRPr="009A6707">
        <w:rPr>
          <w:rFonts w:cs="Times New Roman"/>
          <w:sz w:val="22"/>
        </w:rPr>
        <w:t xml:space="preserve">eneral </w:t>
      </w:r>
      <w:r>
        <w:rPr>
          <w:rFonts w:cs="Times New Roman"/>
          <w:sz w:val="22"/>
        </w:rPr>
        <w:t>f</w:t>
      </w:r>
      <w:r w:rsidRPr="009A6707">
        <w:rPr>
          <w:rFonts w:cs="Times New Roman"/>
          <w:sz w:val="22"/>
        </w:rPr>
        <w:t>und individual and corporation income taxes and individual income tax withholdings by an estimated $1,000,000 in FY2019-20, an estimated $2,000,000 in FY2020-21, and by an estimated $3,000,000 in FY2021-22, and each fiscal year thereafter until a port is opened and is accepting shipments in Jasper County.</w:t>
      </w:r>
      <w:r>
        <w:rPr>
          <w:rFonts w:cs="Times New Roman"/>
          <w:sz w:val="22"/>
        </w:rPr>
        <w:t xml:space="preserve"> This section would not affect other f</w:t>
      </w:r>
      <w:r w:rsidRPr="009A6707">
        <w:rPr>
          <w:rFonts w:cs="Times New Roman"/>
          <w:sz w:val="22"/>
        </w:rPr>
        <w:t xml:space="preserve">und revenues or </w:t>
      </w:r>
      <w:r>
        <w:rPr>
          <w:rFonts w:cs="Times New Roman"/>
          <w:sz w:val="22"/>
        </w:rPr>
        <w:t>f</w:t>
      </w:r>
      <w:r w:rsidRPr="009A6707">
        <w:rPr>
          <w:rFonts w:cs="Times New Roman"/>
          <w:sz w:val="22"/>
        </w:rPr>
        <w:t xml:space="preserve">ederal </w:t>
      </w:r>
      <w:r>
        <w:rPr>
          <w:rFonts w:cs="Times New Roman"/>
          <w:sz w:val="22"/>
        </w:rPr>
        <w:t>f</w:t>
      </w:r>
      <w:r w:rsidRPr="009A6707">
        <w:rPr>
          <w:rFonts w:cs="Times New Roman"/>
          <w:sz w:val="22"/>
        </w:rPr>
        <w:t>und revenues.</w:t>
      </w:r>
    </w:p>
    <w:p w:rsidR="00643104" w:rsidRPr="009A6707" w:rsidRDefault="00643104" w:rsidP="0064310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A6707">
        <w:rPr>
          <w:rFonts w:cs="Times New Roman"/>
          <w:b/>
          <w:sz w:val="22"/>
        </w:rPr>
        <w:t>Section 4.</w:t>
      </w:r>
      <w:r w:rsidRPr="009A6707">
        <w:rPr>
          <w:rFonts w:cs="Times New Roman"/>
          <w:sz w:val="22"/>
        </w:rPr>
        <w:t xml:space="preserve"> This act takes effect upon approval by the Governor.</w:t>
      </w:r>
    </w:p>
    <w:p w:rsidR="00643104" w:rsidRPr="009A6707" w:rsidRDefault="00643104" w:rsidP="00643104">
      <w:pPr>
        <w:rPr>
          <w:szCs w:val="22"/>
        </w:rPr>
      </w:pP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43104" w:rsidRP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104" w:rsidSect="006431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D6E" w:rsidRDefault="00B84D6E"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A04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73D"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TO</w:t>
      </w:r>
      <w:r w:rsidRPr="00484644">
        <w:rPr>
          <w:color w:val="000000" w:themeColor="text1"/>
          <w:u w:color="000000" w:themeColor="text1"/>
        </w:rPr>
        <w:t xml:space="preserve"> AMEND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w:t>
      </w:r>
      <w:r>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1.</w:t>
      </w: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3375(A)(2) of the 1976 Code is amended to read: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“(2)</w:t>
      </w:r>
      <w:r w:rsidRPr="00484644">
        <w:rPr>
          <w:color w:val="000000" w:themeColor="text1"/>
          <w:u w:color="000000" w:themeColor="text1"/>
        </w:rPr>
        <w:tab/>
        <w:t xml:space="preserve">The maximum amount of tax credits allowed to all qualifying taxpayers pursuant to this section may not exceed </w:t>
      </w:r>
      <w:r w:rsidRPr="00484644">
        <w:rPr>
          <w:strike/>
          <w:color w:val="000000" w:themeColor="text1"/>
          <w:u w:color="000000" w:themeColor="text1"/>
        </w:rPr>
        <w:t>eight</w:t>
      </w:r>
      <w:r w:rsidRPr="00484644">
        <w:rPr>
          <w:color w:val="000000" w:themeColor="text1"/>
          <w:u w:color="000000" w:themeColor="text1"/>
        </w:rPr>
        <w:t xml:space="preserve"> </w:t>
      </w:r>
      <w:r w:rsidRPr="00484644">
        <w:rPr>
          <w:color w:val="000000" w:themeColor="text1"/>
          <w:u w:val="single" w:color="000000" w:themeColor="text1"/>
        </w:rPr>
        <w:t>fifteen</w:t>
      </w:r>
      <w:r w:rsidRPr="00484644">
        <w:rPr>
          <w:color w:val="000000" w:themeColor="text1"/>
          <w:u w:color="000000" w:themeColor="text1"/>
        </w:rPr>
        <w:t xml:space="preserve"> million dollars for each calendar year. The credits may be claimed against the taxes imposed pursuant to Sections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530 and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545 and against employee withholdings. The council has sole discretion in allocating the credits provided by this section and must consider the following factors:</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the amount of base year port cargo volume;</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the total and percentage increase in port cargo volume; and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factors related to the economic benefit of the State or other factors.”</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2.</w:t>
      </w: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 of the 1976 Code is amended by adding an appropriately lettered subsection at the end to read: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  )(1)</w:t>
      </w:r>
      <w:r w:rsidRPr="00484644">
        <w:rPr>
          <w:color w:val="000000" w:themeColor="text1"/>
          <w:u w:color="000000" w:themeColor="text1"/>
        </w:rPr>
        <w:tab/>
        <w:t xml:space="preserve">A taxpayer engaged in any of the businesses identified in subsection (A)(1) at a facility located in the counties of Allendale, Bamberg, Barnwell, Beaufort, Hampton, Jasper, or Orangeburg is eligible to claim a port transportation credit in the form of an income tax credit or a credit against employee withholding for its transportation costs in an amount determined by the council in its sole discretion.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(2)</w:t>
      </w:r>
      <w:r w:rsidRPr="00484644">
        <w:rPr>
          <w:color w:val="000000" w:themeColor="text1"/>
          <w:u w:color="000000" w:themeColor="text1"/>
        </w:rPr>
        <w:tab/>
        <w:t xml:space="preserve">For purposes of this subsection, </w:t>
      </w:r>
      <w:r w:rsidRPr="00207BA8">
        <w:rPr>
          <w:color w:val="000000" w:themeColor="text1"/>
          <w:u w:color="000000" w:themeColor="text1"/>
        </w:rPr>
        <w:t>‘</w:t>
      </w:r>
      <w:r w:rsidRPr="00484644">
        <w:rPr>
          <w:color w:val="000000" w:themeColor="text1"/>
          <w:u w:color="000000" w:themeColor="text1"/>
        </w:rPr>
        <w:t>transportation costs</w:t>
      </w:r>
      <w:r w:rsidRPr="00207BA8">
        <w:rPr>
          <w:color w:val="000000" w:themeColor="text1"/>
          <w:u w:color="000000" w:themeColor="text1"/>
        </w:rPr>
        <w:t>’</w:t>
      </w:r>
      <w:r w:rsidRPr="00484644">
        <w:rPr>
          <w:color w:val="000000" w:themeColor="text1"/>
          <w:u w:color="000000" w:themeColor="text1"/>
        </w:rPr>
        <w:t xml:space="preserve"> means the costs of transporting freight, goods, and materials to and from port facilities in South Carolina.</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(3)</w:t>
      </w:r>
      <w:r w:rsidRPr="00484644">
        <w:rPr>
          <w:color w:val="000000" w:themeColor="text1"/>
          <w:u w:color="000000" w:themeColor="text1"/>
        </w:rPr>
        <w:tab/>
        <w:t>The maximum amount of port transportation credits allowed to all qualifying taxpayers pursuant to this subsection is limited to the following amounts of the fifteen million dollars of credits available under this section:</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one million dollars for the calendar year ending December 31, 2019;</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 xml:space="preserve">two million dollars for the calendar year ending December 31, 2020; and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three m</w:t>
      </w:r>
      <w:r>
        <w:rPr>
          <w:color w:val="000000" w:themeColor="text1"/>
          <w:u w:color="000000" w:themeColor="text1"/>
        </w:rPr>
        <w:t>illion dollars for all calendar</w:t>
      </w:r>
      <w:r w:rsidRPr="00484644">
        <w:rPr>
          <w:color w:val="000000" w:themeColor="text1"/>
          <w:u w:color="000000" w:themeColor="text1"/>
        </w:rPr>
        <w:t xml:space="preserve"> years after December 31, 2020, until the port transportation credit expires pursuant to item (6).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(4)(a)</w:t>
      </w:r>
      <w:r w:rsidRPr="00484644">
        <w:rPr>
          <w:color w:val="000000" w:themeColor="text1"/>
          <w:u w:color="000000" w:themeColor="text1"/>
        </w:rPr>
        <w:tab/>
        <w:t>If the allocable port transportation credit exceeds the taxpayer</w:t>
      </w:r>
      <w:r w:rsidRPr="00207BA8">
        <w:rPr>
          <w:color w:val="000000" w:themeColor="text1"/>
          <w:u w:color="000000" w:themeColor="text1"/>
        </w:rPr>
        <w:t>’</w:t>
      </w:r>
      <w:r w:rsidRPr="00484644">
        <w:rPr>
          <w:color w:val="000000" w:themeColor="text1"/>
          <w:u w:color="000000" w:themeColor="text1"/>
        </w:rPr>
        <w:t xml:space="preserve">s income tax liability for the taxable year, the excess amount may be carried forward and claimed against income taxes in the next five succeeding taxable years.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If the allocable port transportation credit exceeds the taxpayer</w:t>
      </w:r>
      <w:r w:rsidRPr="00207BA8">
        <w:rPr>
          <w:color w:val="000000" w:themeColor="text1"/>
          <w:u w:color="000000" w:themeColor="text1"/>
        </w:rPr>
        <w:t>’</w:t>
      </w:r>
      <w:r w:rsidRPr="00484644">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(5)(a)</w:t>
      </w:r>
      <w:r w:rsidRPr="00484644">
        <w:rPr>
          <w:color w:val="000000" w:themeColor="text1"/>
          <w:u w:color="000000" w:themeColor="text1"/>
        </w:rPr>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(6)</w:t>
      </w:r>
      <w:r w:rsidRPr="00484644">
        <w:rPr>
          <w:color w:val="000000" w:themeColor="text1"/>
          <w:u w:color="000000" w:themeColor="text1"/>
        </w:rPr>
        <w:tab/>
        <w:t xml:space="preserve">The port transportation credit expires effective at the end of the calendar year in which a port in Jasper County is opened and is accepting shipments.”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3.</w:t>
      </w:r>
      <w:r w:rsidRPr="00484644">
        <w:rPr>
          <w:color w:val="000000" w:themeColor="text1"/>
          <w:u w:color="000000" w:themeColor="text1"/>
        </w:rPr>
        <w:tab/>
        <w:t>Article 21, Chapter 36, Title 12</w:t>
      </w:r>
      <w:r>
        <w:rPr>
          <w:color w:val="000000" w:themeColor="text1"/>
          <w:u w:color="000000" w:themeColor="text1"/>
        </w:rPr>
        <w:t xml:space="preserve"> of the 1976 Code</w:t>
      </w:r>
      <w:r w:rsidRPr="00484644">
        <w:rPr>
          <w:color w:val="000000" w:themeColor="text1"/>
          <w:u w:color="000000" w:themeColor="text1"/>
        </w:rPr>
        <w:t xml:space="preserve"> is amended by adding:</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Pr="00207BA8">
        <w:rPr>
          <w:color w:val="000000" w:themeColor="text1"/>
          <w:u w:color="000000" w:themeColor="text1"/>
        </w:rPr>
        <w:t>‘</w:t>
      </w:r>
      <w:r w:rsidRPr="00484644">
        <w:rPr>
          <w:color w:val="000000" w:themeColor="text1"/>
          <w:u w:color="000000" w:themeColor="text1"/>
        </w:rPr>
        <w:t>distribution facility</w:t>
      </w:r>
      <w:r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 xml:space="preserve">3375.” </w:t>
      </w:r>
    </w:p>
    <w:p w:rsidR="001C173D" w:rsidRDefault="001C1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173D">
        <w:t>4</w:t>
      </w:r>
      <w:r>
        <w:t>.</w:t>
      </w:r>
      <w:r>
        <w:tab/>
        <w:t>This act takes effect upon approval by the Governor.</w:t>
      </w:r>
    </w:p>
    <w:p w:rsidR="002E71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201F" w:rsidRDefault="0025201F" w:rsidP="0025201F">
      <w:pPr>
        <w:suppressAutoHyphens/>
      </w:pPr>
    </w:p>
    <w:sectPr w:rsidR="0025201F" w:rsidSect="006431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D86" w:rsidRDefault="00D56D86" w:rsidP="009F0C77">
      <w:r>
        <w:separator/>
      </w:r>
    </w:p>
  </w:endnote>
  <w:endnote w:type="continuationSeparator" w:id="0">
    <w:p w:rsidR="00D56D86" w:rsidRDefault="00D56D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8600CF-3D61-4D98-A7B9-5F54D30411DD}"/>
    <w:embedBold r:id="rId2" w:fontKey="{6D6A3C18-2AD4-4946-AAF6-117F6BC94942}"/>
  </w:font>
  <w:font w:name="Calibri">
    <w:panose1 w:val="020F0502020204030204"/>
    <w:charset w:val="00"/>
    <w:family w:val="swiss"/>
    <w:pitch w:val="variable"/>
    <w:sig w:usb0="E0002AFF" w:usb1="C000247B" w:usb2="00000009" w:usb3="00000000" w:csb0="000001FF" w:csb1="00000000"/>
    <w:embedRegular r:id="rId3" w:fontKey="{63237E5C-F4AB-4DDB-9979-FE9149D4B40F}"/>
    <w:embedBold r:id="rId4" w:fontKey="{974AD8CB-3706-4455-9B65-7A16C89EBD50}"/>
  </w:font>
  <w:font w:name="Cambria">
    <w:panose1 w:val="02040503050406030204"/>
    <w:charset w:val="00"/>
    <w:family w:val="roman"/>
    <w:pitch w:val="variable"/>
    <w:sig w:usb0="E00006FF" w:usb1="420024FF" w:usb2="02000000" w:usb3="00000000" w:csb0="0000019F" w:csb1="00000000"/>
    <w:embedRegular r:id="rId5" w:fontKey="{FD1A5B77-9372-4836-B5ED-95DF42A8AAE8}"/>
  </w:font>
  <w:font w:name="Segoe UI">
    <w:panose1 w:val="020B0502040204020203"/>
    <w:charset w:val="00"/>
    <w:family w:val="swiss"/>
    <w:pitch w:val="variable"/>
    <w:sig w:usb0="E4002EFF" w:usb1="C000E47F" w:usb2="00000009" w:usb3="00000000" w:csb0="000001FF" w:csb1="00000000"/>
    <w:embedRegular r:id="rId6" w:fontKey="{61854979-4440-4F07-9305-B2FCEA613B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86" w:rsidRPr="00B84D6E" w:rsidRDefault="00D56D86" w:rsidP="00B84D6E">
    <w:pPr>
      <w:pStyle w:val="Footer"/>
      <w:tabs>
        <w:tab w:val="clear" w:pos="4680"/>
        <w:tab w:val="clear" w:pos="9360"/>
        <w:tab w:val="center" w:pos="2995"/>
      </w:tabs>
      <w:spacing w:before="120"/>
    </w:pPr>
    <w:r>
      <w:t>[3778-</w:t>
    </w:r>
    <w:r>
      <w:fldChar w:fldCharType="begin"/>
    </w:r>
    <w:r>
      <w:instrText xml:space="preserve"> PAGE  \* MERGEFORMAT </w:instrText>
    </w:r>
    <w:r>
      <w:fldChar w:fldCharType="separate"/>
    </w:r>
    <w:r w:rsidR="0025201F">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D86" w:rsidRPr="00B84D6E" w:rsidRDefault="00D56D86" w:rsidP="00B84D6E">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sidR="002520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D86" w:rsidRDefault="00D56D86" w:rsidP="009F0C77">
      <w:r>
        <w:separator/>
      </w:r>
    </w:p>
  </w:footnote>
  <w:footnote w:type="continuationSeparator" w:id="0">
    <w:p w:rsidR="00D56D86" w:rsidRDefault="00D56D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3DG19"/>
    <w:docVar w:name="CoverBillType" w:val="b"/>
    <w:docVar w:name="DocPath" w:val="L:\Council\bills\BH\7153DG19.DOCX"/>
    <w:docVar w:name="dvBillNumber" w:val="3778"/>
    <w:docVar w:name="dvBillNumberPrefix" w:val="H. "/>
    <w:docVar w:name="dvOriginalBody" w:val="House"/>
    <w:docVar w:name="dvSteno" w:val="BH"/>
    <w:docVar w:name="NameofBody" w:val="h"/>
    <w:docVar w:name="vGroup2" w:val="Council"/>
  </w:docVars>
  <w:rsids>
    <w:rsidRoot w:val="00DA04DE"/>
    <w:rsid w:val="00011869"/>
    <w:rsid w:val="00015CD6"/>
    <w:rsid w:val="000641D6"/>
    <w:rsid w:val="000E0100"/>
    <w:rsid w:val="000E1785"/>
    <w:rsid w:val="000F40FA"/>
    <w:rsid w:val="001035F1"/>
    <w:rsid w:val="0010776B"/>
    <w:rsid w:val="00133E66"/>
    <w:rsid w:val="001435A3"/>
    <w:rsid w:val="00146ED3"/>
    <w:rsid w:val="00151044"/>
    <w:rsid w:val="001C173D"/>
    <w:rsid w:val="001D08F2"/>
    <w:rsid w:val="001D3A58"/>
    <w:rsid w:val="001D525B"/>
    <w:rsid w:val="001D7F4F"/>
    <w:rsid w:val="00205238"/>
    <w:rsid w:val="002321B6"/>
    <w:rsid w:val="00250967"/>
    <w:rsid w:val="0025201F"/>
    <w:rsid w:val="002543C8"/>
    <w:rsid w:val="0025541D"/>
    <w:rsid w:val="00284AAE"/>
    <w:rsid w:val="002E5912"/>
    <w:rsid w:val="002E7159"/>
    <w:rsid w:val="00301B21"/>
    <w:rsid w:val="00325348"/>
    <w:rsid w:val="0032732C"/>
    <w:rsid w:val="00330654"/>
    <w:rsid w:val="00336AD0"/>
    <w:rsid w:val="0037079A"/>
    <w:rsid w:val="003C4DAB"/>
    <w:rsid w:val="003D01E8"/>
    <w:rsid w:val="003D1A2B"/>
    <w:rsid w:val="003E5288"/>
    <w:rsid w:val="003F6D79"/>
    <w:rsid w:val="0041760A"/>
    <w:rsid w:val="00417C01"/>
    <w:rsid w:val="004403BD"/>
    <w:rsid w:val="00461441"/>
    <w:rsid w:val="004809EE"/>
    <w:rsid w:val="004E7D54"/>
    <w:rsid w:val="004F1EBF"/>
    <w:rsid w:val="005273C6"/>
    <w:rsid w:val="00530A69"/>
    <w:rsid w:val="00545593"/>
    <w:rsid w:val="00556EBF"/>
    <w:rsid w:val="00577C6C"/>
    <w:rsid w:val="005A62FE"/>
    <w:rsid w:val="005C2FE2"/>
    <w:rsid w:val="005E2BC9"/>
    <w:rsid w:val="005F2681"/>
    <w:rsid w:val="00605102"/>
    <w:rsid w:val="006215AA"/>
    <w:rsid w:val="00643104"/>
    <w:rsid w:val="006913C9"/>
    <w:rsid w:val="0069470D"/>
    <w:rsid w:val="006D58AA"/>
    <w:rsid w:val="00734F00"/>
    <w:rsid w:val="007A70AE"/>
    <w:rsid w:val="007D0A93"/>
    <w:rsid w:val="008362E8"/>
    <w:rsid w:val="0085786E"/>
    <w:rsid w:val="008A1768"/>
    <w:rsid w:val="008A489F"/>
    <w:rsid w:val="008F0F33"/>
    <w:rsid w:val="008F4429"/>
    <w:rsid w:val="0094021A"/>
    <w:rsid w:val="009B44AF"/>
    <w:rsid w:val="009B70BA"/>
    <w:rsid w:val="009C6A0B"/>
    <w:rsid w:val="009F0C77"/>
    <w:rsid w:val="009F2AC5"/>
    <w:rsid w:val="009F4DD1"/>
    <w:rsid w:val="00A02543"/>
    <w:rsid w:val="00A41684"/>
    <w:rsid w:val="00A64E80"/>
    <w:rsid w:val="00A72BCD"/>
    <w:rsid w:val="00A741D9"/>
    <w:rsid w:val="00A82A47"/>
    <w:rsid w:val="00A833AB"/>
    <w:rsid w:val="00A9741D"/>
    <w:rsid w:val="00AC34A2"/>
    <w:rsid w:val="00AD1C9A"/>
    <w:rsid w:val="00AD4B17"/>
    <w:rsid w:val="00B412D4"/>
    <w:rsid w:val="00B84D6E"/>
    <w:rsid w:val="00BE3C22"/>
    <w:rsid w:val="00C0345E"/>
    <w:rsid w:val="00C31C95"/>
    <w:rsid w:val="00C3483A"/>
    <w:rsid w:val="00C74E9D"/>
    <w:rsid w:val="00C826DD"/>
    <w:rsid w:val="00C82FD3"/>
    <w:rsid w:val="00C92819"/>
    <w:rsid w:val="00CA5A78"/>
    <w:rsid w:val="00CC6B7B"/>
    <w:rsid w:val="00CD2089"/>
    <w:rsid w:val="00CF1718"/>
    <w:rsid w:val="00D56D86"/>
    <w:rsid w:val="00D73A67"/>
    <w:rsid w:val="00D970A9"/>
    <w:rsid w:val="00DA04DE"/>
    <w:rsid w:val="00DA4C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4A7D6-F2D0-4689-BC92-922E1934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431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718"/>
    <w:rPr>
      <w:rFonts w:ascii="Segoe UI" w:eastAsia="Times New Roman" w:hAnsi="Segoe UI" w:cs="Segoe UI"/>
      <w:sz w:val="18"/>
      <w:szCs w:val="18"/>
    </w:rPr>
  </w:style>
  <w:style w:type="paragraph" w:customStyle="1" w:styleId="Default">
    <w:name w:val="Default"/>
    <w:rsid w:val="00643104"/>
    <w:pPr>
      <w:autoSpaceDE w:val="0"/>
      <w:autoSpaceDN w:val="0"/>
      <w:adjustRightInd w:val="0"/>
      <w:spacing w:after="0" w:line="240" w:lineRule="auto"/>
    </w:pPr>
    <w:rPr>
      <w:rFonts w:cs="Times New Roman"/>
      <w:color w:val="000000"/>
      <w:sz w:val="24"/>
      <w:szCs w:val="24"/>
    </w:rPr>
  </w:style>
  <w:style w:type="character" w:customStyle="1" w:styleId="Heading2Char">
    <w:name w:val="Heading 2 Char"/>
    <w:basedOn w:val="DefaultParagraphFont"/>
    <w:link w:val="Heading2"/>
    <w:uiPriority w:val="9"/>
    <w:rsid w:val="0064310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43104"/>
    <w:pPr>
      <w:spacing w:after="0" w:line="240" w:lineRule="auto"/>
    </w:pPr>
    <w:rPr>
      <w:sz w:val="24"/>
    </w:rPr>
  </w:style>
  <w:style w:type="paragraph" w:customStyle="1" w:styleId="TableParagraph">
    <w:name w:val="Table Paragraph"/>
    <w:basedOn w:val="Normal"/>
    <w:uiPriority w:val="1"/>
    <w:qFormat/>
    <w:rsid w:val="00643104"/>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C1F4-2A61-4210-84F2-333EF2DC5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E3CA0352.dotm</Template>
  <TotalTime>0</TotalTime>
  <Pages>8</Pages>
  <Words>2349</Words>
  <Characters>12579</Characters>
  <Application>Microsoft Office Word</Application>
  <DocSecurity>0</DocSecurity>
  <Lines>320</Lines>
  <Paragraphs>94</Paragraphs>
  <ScaleCrop>false</ScaleCrop>
  <HeadingPairs>
    <vt:vector size="2" baseType="variant">
      <vt:variant>
        <vt:lpstr>Title</vt:lpstr>
      </vt:variant>
      <vt:variant>
        <vt:i4>1</vt:i4>
      </vt:variant>
    </vt:vector>
  </HeadingPairs>
  <TitlesOfParts>
    <vt:vector size="1" baseType="lpstr">
      <vt:lpstr>2019-2020 Bill 3778: Subject not yet available - South Carolina Legislature Online</vt:lpstr>
    </vt:vector>
  </TitlesOfParts>
  <Company>LPITS</Company>
  <LinksUpToDate>false</LinksUpToDate>
  <CharactersWithSpaces>14964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3778 Text of Previous Version (Mar. 27, 2019) - South Carolina Legislature Online</dc:title>
  <dc:creator>Bonnie Huth</dc:creator>
  <cp:lastModifiedBy>Miriam Cook</cp:lastModifiedBy>
  <cp:revision>2</cp:revision>
  <cp:lastPrinted>2019-03-27T23:43:00Z</cp:lastPrinted>
  <dcterms:created xsi:type="dcterms:W3CDTF">2019-03-28T01:16:00Z</dcterms:created>
  <dcterms:modified xsi:type="dcterms:W3CDTF">2019-03-28T01:16:00Z</dcterms:modified>
</cp:coreProperties>
</file>