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E63CB" w14:textId="77777777" w:rsidR="008E6931" w:rsidRDefault="008E69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03B874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0E4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0DC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EE9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321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1841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10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02D30" w14:textId="77777777" w:rsidR="00522CE0" w:rsidRPr="008F023B" w:rsidRDefault="00522CE0" w:rsidP="008E6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03AAA">
        <w:rPr>
          <w:rFonts w:eastAsia="Times New Roman"/>
          <w:b/>
          <w:sz w:val="30"/>
          <w:szCs w:val="30"/>
        </w:rPr>
        <w:t>BILL</w:t>
      </w:r>
    </w:p>
    <w:p w14:paraId="27A25F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2F1E0" w14:textId="77777777" w:rsidR="00522CE0" w:rsidRPr="00522CE0" w:rsidRDefault="008C2A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678C">
        <w:rPr>
          <w:rFonts w:eastAsia="Times New Roman"/>
          <w:color w:val="000000" w:themeColor="text1"/>
          <w:u w:color="000000" w:themeColor="text1"/>
        </w:rPr>
        <w:t xml:space="preserve">TO AMEND </w:t>
      </w:r>
      <w:r>
        <w:rPr>
          <w:rFonts w:eastAsia="Times New Roman"/>
          <w:color w:val="000000" w:themeColor="text1"/>
          <w:u w:color="000000" w:themeColor="text1"/>
        </w:rPr>
        <w:t xml:space="preserve">TITLE 15 OF </w:t>
      </w:r>
      <w:r w:rsidRPr="0047678C">
        <w:rPr>
          <w:rFonts w:eastAsia="Times New Roman"/>
          <w:color w:val="000000" w:themeColor="text1"/>
          <w:u w:color="000000" w:themeColor="text1"/>
        </w:rPr>
        <w:t xml:space="preserve">THE </w:t>
      </w:r>
      <w:r>
        <w:rPr>
          <w:rFonts w:eastAsia="Times New Roman"/>
          <w:color w:val="000000" w:themeColor="text1"/>
          <w:u w:color="000000" w:themeColor="text1"/>
        </w:rPr>
        <w:t>1976 CODE, BY ADDING CHAPTER 85</w:t>
      </w:r>
      <w:r w:rsidRPr="0047678C">
        <w:rPr>
          <w:rFonts w:eastAsia="Times New Roman"/>
          <w:color w:val="000000" w:themeColor="text1"/>
          <w:u w:color="000000" w:themeColor="text1"/>
        </w:rPr>
        <w:t>,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14:paraId="0C75D0B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D54BCF" w14:textId="77777777" w:rsidR="00E03AAA"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CA0EAD" w14:textId="77777777" w:rsidR="00E03AAA"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1F1D2" w14:textId="77777777" w:rsidR="008C2A24" w:rsidRDefault="00E03AAA"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8C2A24" w:rsidRPr="006535B8">
        <w:rPr>
          <w:rFonts w:eastAsia="Times New Roman"/>
          <w:snapToGrid w:val="0"/>
          <w:color w:val="000000" w:themeColor="text1"/>
          <w:szCs w:val="20"/>
          <w:u w:color="000000" w:themeColor="text1"/>
        </w:rPr>
        <w:t>Title 15 of the 1976 Code is amended by adding:</w:t>
      </w:r>
    </w:p>
    <w:p w14:paraId="68C6B93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ABC481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CHAPTER 85</w:t>
      </w:r>
    </w:p>
    <w:p w14:paraId="1426CE1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2FBDD8A5" w14:textId="77777777" w:rsidR="008C2A24"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South Carolina False Claims Act</w:t>
      </w:r>
    </w:p>
    <w:p w14:paraId="212D0EE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14:paraId="58A283E5" w14:textId="11F169B5" w:rsidR="008C2A24"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w:t>
      </w:r>
      <w:r w:rsidRPr="006535B8">
        <w:rPr>
          <w:rFonts w:eastAsia="Times New Roman"/>
          <w:snapToGrid w:val="0"/>
          <w:color w:val="000000" w:themeColor="text1"/>
          <w:szCs w:val="20"/>
          <w:u w:color="000000" w:themeColor="text1"/>
        </w:rPr>
        <w:tab/>
        <w:t>This chapter may be cited as the ‘South Carolina False Claims Act’.</w:t>
      </w:r>
    </w:p>
    <w:p w14:paraId="7570F1C8" w14:textId="77777777" w:rsidR="00204519" w:rsidRPr="006535B8" w:rsidRDefault="00204519"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DAAD44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20.</w:t>
      </w:r>
      <w:r w:rsidRPr="006535B8">
        <w:rPr>
          <w:rFonts w:eastAsia="Times New Roman"/>
          <w:snapToGrid w:val="0"/>
          <w:color w:val="000000" w:themeColor="text1"/>
          <w:szCs w:val="20"/>
          <w:u w:color="000000" w:themeColor="text1"/>
        </w:rPr>
        <w:tab/>
        <w:t>As used in this chapter:</w:t>
      </w:r>
    </w:p>
    <w:p w14:paraId="4D9FDF0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14:paraId="093BBAA1" w14:textId="44321696"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‘Documentary material’ includes the original or a copy of a book, record, report, memorandum, paper, communication, tabulation, chart, or other document, or data compilations stored in or accessible through </w:t>
      </w:r>
      <w:r w:rsidR="00204519">
        <w:rPr>
          <w:rFonts w:eastAsia="Times New Roman"/>
          <w:snapToGrid w:val="0"/>
          <w:color w:val="000000" w:themeColor="text1"/>
          <w:szCs w:val="20"/>
          <w:u w:color="000000" w:themeColor="text1"/>
        </w:rPr>
        <w:t xml:space="preserve">a </w:t>
      </w:r>
      <w:r w:rsidRPr="006535B8">
        <w:rPr>
          <w:rFonts w:eastAsia="Times New Roman"/>
          <w:snapToGrid w:val="0"/>
          <w:color w:val="000000" w:themeColor="text1"/>
          <w:szCs w:val="20"/>
          <w:u w:color="000000" w:themeColor="text1"/>
        </w:rPr>
        <w:t xml:space="preserve">computer or other information retrieval systems, together with instructions and all other materials necessary </w:t>
      </w:r>
      <w:r w:rsidRPr="006535B8">
        <w:rPr>
          <w:rFonts w:eastAsia="Times New Roman"/>
          <w:snapToGrid w:val="0"/>
          <w:color w:val="000000" w:themeColor="text1"/>
          <w:szCs w:val="20"/>
          <w:u w:color="000000" w:themeColor="text1"/>
        </w:rPr>
        <w:lastRenderedPageBreak/>
        <w:t>to use or interpret data compilations, and other products of discovery.</w:t>
      </w:r>
    </w:p>
    <w:p w14:paraId="537376F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‘Guard’ means the South Carolina National Guard.</w:t>
      </w:r>
    </w:p>
    <w:p w14:paraId="0FA8090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14:paraId="3C6FDBF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14:paraId="2A574F7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‘Medicaid Fraud Control Unit’ means the South Carolina Medicaid Fraud Control Unit certified pursuant to federal law.</w:t>
      </w:r>
    </w:p>
    <w:p w14:paraId="728FE71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14:paraId="15A2127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14:paraId="05AA108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‘Product of discovery’ includes:</w:t>
      </w:r>
    </w:p>
    <w:p w14:paraId="6847F91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14:paraId="2C2B7AC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digest, analysis, selection, compilation, or derivation of an item listed in item (a); and</w:t>
      </w:r>
    </w:p>
    <w:p w14:paraId="1B11666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an index or other manner of access to an item listed in item (a).</w:t>
      </w:r>
    </w:p>
    <w:p w14:paraId="059255E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(10)</w:t>
      </w:r>
      <w:r w:rsidRPr="006535B8">
        <w:rPr>
          <w:rFonts w:eastAsia="Times New Roman"/>
          <w:snapToGrid w:val="0"/>
          <w:color w:val="000000" w:themeColor="text1"/>
          <w:szCs w:val="20"/>
          <w:u w:color="000000" w:themeColor="text1"/>
        </w:rPr>
        <w:tab/>
        <w:t>‘qui tam plaintiff” means a person who brings a civil action pursuant to this chapter.</w:t>
      </w:r>
    </w:p>
    <w:p w14:paraId="59F692F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(11)</w:t>
      </w:r>
      <w:r w:rsidRPr="006535B8">
        <w:rPr>
          <w:rFonts w:eastAsia="Times New Roman"/>
          <w:snapToGrid w:val="0"/>
          <w:color w:val="000000" w:themeColor="text1"/>
          <w:szCs w:val="20"/>
          <w:u w:color="000000" w:themeColor="text1"/>
        </w:rPr>
        <w:tab/>
        <w:t>‘State’ means the State of South Carolina.</w:t>
      </w:r>
    </w:p>
    <w:p w14:paraId="637157A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E3CDC3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As used in this section:</w:t>
      </w:r>
    </w:p>
    <w:p w14:paraId="4FD9F4F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14:paraId="779680C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has actual knowledge of the information;</w:t>
      </w:r>
    </w:p>
    <w:p w14:paraId="63D7AAE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acts in deliberate ignorance of the truth or falsity of the information; or</w:t>
      </w:r>
    </w:p>
    <w:p w14:paraId="63C48B4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acts in reckless disregard of the truth or falsity of the information.</w:t>
      </w:r>
    </w:p>
    <w:p w14:paraId="06200C72" w14:textId="47FE5C2B"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w:t>
      </w:r>
      <w:r w:rsidR="00204519">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that is:</w:t>
      </w:r>
    </w:p>
    <w:p w14:paraId="168A293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presented directly to an officer, employee, or an agent of the State, or</w:t>
      </w:r>
    </w:p>
    <w:p w14:paraId="4D5CC90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14:paraId="7B97D58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14:paraId="0AE83FD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6535B8">
        <w:rPr>
          <w:rFonts w:eastAsia="Times New Roman"/>
          <w:snapToGrid w:val="0"/>
          <w:color w:val="000000" w:themeColor="text1"/>
          <w:szCs w:val="20"/>
          <w:u w:color="000000" w:themeColor="text1"/>
        </w:rPr>
        <w:noBreakHyphen/>
        <w:t>grantee, or licensor</w:t>
      </w:r>
      <w:r w:rsidRPr="006535B8">
        <w:rPr>
          <w:rFonts w:eastAsia="Times New Roman"/>
          <w:snapToGrid w:val="0"/>
          <w:color w:val="000000" w:themeColor="text1"/>
          <w:szCs w:val="20"/>
          <w:u w:color="000000" w:themeColor="text1"/>
        </w:rPr>
        <w:noBreakHyphen/>
        <w:t>licensee relationship, from a fee</w:t>
      </w:r>
      <w:r w:rsidRPr="006535B8">
        <w:rPr>
          <w:rFonts w:eastAsia="Times New Roman"/>
          <w:snapToGrid w:val="0"/>
          <w:color w:val="000000" w:themeColor="text1"/>
          <w:szCs w:val="20"/>
          <w:u w:color="000000" w:themeColor="text1"/>
        </w:rPr>
        <w:noBreakHyphen/>
        <w:t>based or similar relationship, from statue or regulation, or from retention of any overpayment.</w:t>
      </w:r>
    </w:p>
    <w:p w14:paraId="0AE4F46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A person who commits any of the following acts shall be liable to the State for three times the amount of damages which the State sustains </w:t>
      </w:r>
      <w:r w:rsidRPr="00C361B2">
        <w:rPr>
          <w:rFonts w:eastAsia="Times New Roman"/>
          <w:snapToGrid w:val="0"/>
          <w:color w:val="000000" w:themeColor="text1"/>
          <w:szCs w:val="20"/>
          <w:u w:color="000000" w:themeColor="text1"/>
        </w:rPr>
        <w:t>because of</w:t>
      </w:r>
      <w:r w:rsidRPr="006535B8">
        <w:rPr>
          <w:rFonts w:eastAsia="Times New Roman"/>
          <w:snapToGrid w:val="0"/>
          <w:color w:val="000000" w:themeColor="text1"/>
          <w:szCs w:val="20"/>
          <w:u w:color="000000" w:themeColor="text1"/>
        </w:rPr>
        <w:t xml:space="preserve"> the act of that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person who commits any of the following acts shall</w:t>
      </w:r>
      <w:r>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Pr="006535B8">
        <w:rPr>
          <w:rFonts w:eastAsia="Times New Roman"/>
          <w:snapToGrid w:val="0"/>
          <w:color w:val="000000" w:themeColor="text1"/>
          <w:szCs w:val="20"/>
          <w:u w:color="000000" w:themeColor="text1"/>
        </w:rPr>
        <w:noBreakHyphen/>
        <w:t>410):</w:t>
      </w:r>
    </w:p>
    <w:p w14:paraId="0C80746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knowingly presents or causes to be presented a false or fraudulent claim for payment or approval;</w:t>
      </w:r>
    </w:p>
    <w:p w14:paraId="36FE3F4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14:paraId="52CD5E0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14:paraId="2B9E16D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conspires to commit a violation of the South Carolina False Claims Act;</w:t>
      </w:r>
    </w:p>
    <w:p w14:paraId="6ADE916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14:paraId="777C830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 xml:space="preserve">is authorized to make or deliver a document certifying receipt of property used or to be used by the State and knowingly </w:t>
      </w:r>
      <w:r w:rsidRPr="006535B8">
        <w:rPr>
          <w:rFonts w:eastAsia="Times New Roman"/>
          <w:snapToGrid w:val="0"/>
          <w:color w:val="000000" w:themeColor="text1"/>
          <w:szCs w:val="20"/>
          <w:u w:color="000000" w:themeColor="text1"/>
        </w:rPr>
        <w:lastRenderedPageBreak/>
        <w:t>makes or delivers a receipt that falsely represents the property used or to be used;</w:t>
      </w:r>
    </w:p>
    <w:p w14:paraId="7EBB1A9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14:paraId="6AF954C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7A370CD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14:paraId="2CF59D1B" w14:textId="736B7484" w:rsidR="008C2A24" w:rsidRPr="006535B8" w:rsidRDefault="004605D6"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(C)</w:t>
      </w:r>
      <w:r w:rsidR="008C2A24" w:rsidRPr="006535B8">
        <w:rPr>
          <w:rFonts w:eastAsia="Times New Roman"/>
          <w:snapToGrid w:val="0"/>
          <w:color w:val="000000" w:themeColor="text1"/>
          <w:szCs w:val="20"/>
          <w:u w:color="000000" w:themeColor="text1"/>
        </w:rPr>
        <w:tab/>
        <w:t>Notwithstanding sub</w:t>
      </w:r>
      <w:r w:rsidR="00C361B2">
        <w:rPr>
          <w:rFonts w:eastAsia="Times New Roman"/>
          <w:snapToGrid w:val="0"/>
          <w:color w:val="000000" w:themeColor="text1"/>
          <w:szCs w:val="20"/>
          <w:u w:color="000000" w:themeColor="text1"/>
        </w:rPr>
        <w:t>section</w:t>
      </w:r>
      <w:r w:rsidR="008C2A24" w:rsidRPr="006535B8">
        <w:rPr>
          <w:rFonts w:eastAsia="Times New Roman"/>
          <w:snapToGrid w:val="0"/>
          <w:color w:val="000000" w:themeColor="text1"/>
          <w:szCs w:val="20"/>
          <w:u w:color="000000" w:themeColor="text1"/>
        </w:rPr>
        <w:t xml:space="preserve"> (B), the court may assess not less than two times the amount of damages which the State sustains because of the act of the person described in that sub</w:t>
      </w:r>
      <w:r w:rsidR="00954034">
        <w:rPr>
          <w:rFonts w:eastAsia="Times New Roman"/>
          <w:snapToGrid w:val="0"/>
          <w:color w:val="000000" w:themeColor="text1"/>
          <w:szCs w:val="20"/>
          <w:u w:color="000000" w:themeColor="text1"/>
        </w:rPr>
        <w:t>section</w:t>
      </w:r>
      <w:r w:rsidR="008C2A24" w:rsidRPr="006535B8">
        <w:rPr>
          <w:rFonts w:eastAsia="Times New Roman"/>
          <w:snapToGrid w:val="0"/>
          <w:color w:val="000000" w:themeColor="text1"/>
          <w:szCs w:val="20"/>
          <w:u w:color="000000" w:themeColor="text1"/>
        </w:rPr>
        <w:t>, and no civil penalty, if the court</w:t>
      </w:r>
      <w:r>
        <w:rPr>
          <w:rFonts w:eastAsia="Times New Roman"/>
          <w:snapToGrid w:val="0"/>
          <w:color w:val="000000" w:themeColor="text1"/>
          <w:szCs w:val="20"/>
          <w:u w:color="000000" w:themeColor="text1"/>
        </w:rPr>
        <w:t xml:space="preserve"> finds all of the following:</w:t>
      </w:r>
      <w:r>
        <w:rPr>
          <w:rFonts w:eastAsia="Times New Roman"/>
          <w:snapToGrid w:val="0"/>
          <w:color w:val="000000" w:themeColor="text1"/>
          <w:szCs w:val="20"/>
          <w:u w:color="000000" w:themeColor="text1"/>
        </w:rPr>
        <w:cr/>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(1)</w:t>
      </w:r>
      <w:r w:rsidR="008C2A24" w:rsidRPr="006535B8">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14:paraId="6598E368" w14:textId="4C1DD177" w:rsidR="008C2A24" w:rsidRPr="006535B8" w:rsidRDefault="004605D6"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(2)</w:t>
      </w:r>
      <w:r w:rsidR="008C2A24" w:rsidRPr="006535B8">
        <w:rPr>
          <w:rFonts w:eastAsia="Times New Roman"/>
          <w:snapToGrid w:val="0"/>
          <w:color w:val="000000" w:themeColor="text1"/>
          <w:szCs w:val="20"/>
          <w:u w:color="000000" w:themeColor="text1"/>
        </w:rPr>
        <w:tab/>
        <w:t>the person fully cooperated with any investigation by the State;</w:t>
      </w:r>
      <w:r w:rsidR="00964802">
        <w:rPr>
          <w:rFonts w:eastAsia="Times New Roman"/>
          <w:snapToGrid w:val="0"/>
          <w:color w:val="000000" w:themeColor="text1"/>
          <w:szCs w:val="20"/>
          <w:u w:color="000000" w:themeColor="text1"/>
        </w:rPr>
        <w:t xml:space="preserve"> </w:t>
      </w:r>
      <w:r w:rsidR="008C2A24" w:rsidRPr="006535B8">
        <w:rPr>
          <w:rFonts w:eastAsia="Times New Roman"/>
          <w:snapToGrid w:val="0"/>
          <w:color w:val="000000" w:themeColor="text1"/>
          <w:szCs w:val="20"/>
          <w:u w:color="000000" w:themeColor="text1"/>
        </w:rPr>
        <w:t>and</w:t>
      </w:r>
    </w:p>
    <w:p w14:paraId="3558FB60" w14:textId="0E1DF6D3" w:rsidR="008C2A24" w:rsidRPr="006535B8" w:rsidRDefault="004605D6"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008C2A24" w:rsidRPr="006535B8">
        <w:rPr>
          <w:rFonts w:eastAsia="Times New Roman"/>
          <w:snapToGrid w:val="0"/>
          <w:color w:val="000000" w:themeColor="text1"/>
          <w:szCs w:val="20"/>
          <w:u w:color="000000" w:themeColor="text1"/>
        </w:rPr>
        <w:t>(3)</w:t>
      </w:r>
      <w:r w:rsidR="008C2A24" w:rsidRPr="006535B8">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14:paraId="31B06F9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This section does not apply to claims, records, or statements made under the South Carolina Income Tax Act.</w:t>
      </w:r>
    </w:p>
    <w:p w14:paraId="58B6966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FB5BCD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diligently investigate a civil violation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Attorney General finds that a person has violated or is violating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the Attorney General may bring a civil action pursuant to this section against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2A1B98B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For an action by a private person:</w:t>
      </w:r>
    </w:p>
    <w:p w14:paraId="7FBE9F4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 person may bring a civil action for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for the person and for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action must be brought in the name of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The action may be dismissed only if the court and the Attorney General give written consent to the </w:t>
      </w:r>
      <w:r w:rsidRPr="006535B8">
        <w:rPr>
          <w:rFonts w:eastAsia="Times New Roman"/>
          <w:snapToGrid w:val="0"/>
          <w:color w:val="000000" w:themeColor="text1"/>
          <w:szCs w:val="20"/>
          <w:u w:color="000000" w:themeColor="text1"/>
        </w:rPr>
        <w:lastRenderedPageBreak/>
        <w:t>dismissal and their reasons for consenting.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brought pursuant to this section must be filed in Richland County.</w:t>
      </w:r>
    </w:p>
    <w:p w14:paraId="4EF1A88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complaint and all attachments must be filed in camera, must remain under seal for at least sixty days, and may not be served on the defendant until the court orders it served.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may elect to intervene and proceed with the action within sixty days after it receives both the complaint and the material evidence and information.</w:t>
      </w:r>
    </w:p>
    <w:p w14:paraId="27DC454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motions may be supported by affidavits or other submissions in camera.</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defendant may not be required to respond to a complaint filed pursuant to this section until thirty days after the complaint is unsealed and served on the defendant.</w:t>
      </w:r>
    </w:p>
    <w:p w14:paraId="485B5C2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Before the expiration of the sixty</w:t>
      </w:r>
      <w:r w:rsidRPr="006535B8">
        <w:rPr>
          <w:rFonts w:eastAsia="Times New Roman"/>
          <w:snapToGrid w:val="0"/>
          <w:color w:val="000000" w:themeColor="text1"/>
          <w:szCs w:val="20"/>
          <w:u w:color="000000" w:themeColor="text1"/>
        </w:rPr>
        <w:noBreakHyphen/>
        <w:t>day period or an extension obtained pursuant to item (3), the State shall:</w:t>
      </w:r>
    </w:p>
    <w:p w14:paraId="73EB6BC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proceed with the action, in which case the action must be conducted by the State, or</w:t>
      </w:r>
    </w:p>
    <w:p w14:paraId="2992BE2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14:paraId="7D95F0F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14:paraId="7C49941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In qui tam actions:</w:t>
      </w:r>
    </w:p>
    <w:p w14:paraId="2DC3DD8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has the right to continue as a party to the action, subject to the limitations provided in item (3).</w:t>
      </w:r>
    </w:p>
    <w:p w14:paraId="4E153D8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1FE76A6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(3)(a)</w:t>
      </w:r>
      <w:r w:rsidRPr="006535B8">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14:paraId="0BEA720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14:paraId="3C2614C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14:paraId="1BF79E50" w14:textId="170994EE" w:rsidR="008C2A24" w:rsidRPr="006535B8" w:rsidRDefault="00204519"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(i)</w:t>
      </w:r>
      <w:r w:rsidR="008C2A24" w:rsidRPr="006535B8">
        <w:rPr>
          <w:rFonts w:eastAsia="Times New Roman"/>
          <w:snapToGrid w:val="0"/>
          <w:color w:val="000000" w:themeColor="text1"/>
          <w:szCs w:val="20"/>
          <w:u w:color="000000" w:themeColor="text1"/>
        </w:rPr>
        <w:tab/>
        <w:t>limiting the number of witnesses the person may call;</w:t>
      </w:r>
    </w:p>
    <w:p w14:paraId="0581274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w:t>
      </w:r>
      <w:r w:rsidRPr="006535B8">
        <w:rPr>
          <w:rFonts w:eastAsia="Times New Roman"/>
          <w:snapToGrid w:val="0"/>
          <w:color w:val="000000" w:themeColor="text1"/>
          <w:szCs w:val="20"/>
          <w:u w:color="000000" w:themeColor="text1"/>
        </w:rPr>
        <w:tab/>
        <w:t>limiting the length of the testimony of the witnesses;</w:t>
      </w:r>
    </w:p>
    <w:p w14:paraId="46CB80F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(iii)</w:t>
      </w:r>
      <w:r w:rsidRPr="006535B8">
        <w:rPr>
          <w:rFonts w:eastAsia="Times New Roman"/>
          <w:snapToGrid w:val="0"/>
          <w:color w:val="000000" w:themeColor="text1"/>
          <w:szCs w:val="20"/>
          <w:u w:color="000000" w:themeColor="text1"/>
        </w:rPr>
        <w:tab/>
        <w:t>limiting the person’s cross</w:t>
      </w:r>
      <w:r w:rsidRPr="006535B8">
        <w:rPr>
          <w:rFonts w:eastAsia="Times New Roman"/>
          <w:snapToGrid w:val="0"/>
          <w:color w:val="000000" w:themeColor="text1"/>
          <w:szCs w:val="20"/>
          <w:u w:color="000000" w:themeColor="text1"/>
        </w:rPr>
        <w:noBreakHyphen/>
        <w:t>examination of witnesses; or</w:t>
      </w:r>
    </w:p>
    <w:p w14:paraId="081F5ED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(iv)</w:t>
      </w:r>
      <w:r w:rsidRPr="006535B8">
        <w:rPr>
          <w:rFonts w:eastAsia="Times New Roman"/>
          <w:snapToGrid w:val="0"/>
          <w:color w:val="000000" w:themeColor="text1"/>
          <w:szCs w:val="20"/>
          <w:u w:color="000000" w:themeColor="text1"/>
        </w:rPr>
        <w:tab/>
        <w:t>otherwise limiting the participation by the person in the litigation.</w:t>
      </w:r>
    </w:p>
    <w:p w14:paraId="3686598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14:paraId="5B24D6A6" w14:textId="7FC91D4D"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D76F2A">
        <w:rPr>
          <w:rFonts w:eastAsia="Times New Roman"/>
          <w:snapToGrid w:val="0"/>
          <w:color w:val="000000" w:themeColor="text1"/>
          <w:szCs w:val="20"/>
          <w:u w:color="000000" w:themeColor="text1"/>
        </w:rPr>
        <w:t>4</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State requests, it must be served with copies of all pleadings filed in the action and must be supplied with copies of all deposition transcripts at the state’s expense.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a qui tam plaintiff proceeds with the action, the court, without limiting the status and rights of the qui tam plaintiff initiating the action, may permit the State to intervene at a later date upon a showing of good cause.</w:t>
      </w:r>
    </w:p>
    <w:p w14:paraId="2F4B72E6" w14:textId="6FCC5E25"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D76F2A">
        <w:rPr>
          <w:rFonts w:eastAsia="Times New Roman"/>
          <w:snapToGrid w:val="0"/>
          <w:color w:val="000000" w:themeColor="text1"/>
          <w:szCs w:val="20"/>
          <w:u w:color="000000" w:themeColor="text1"/>
        </w:rPr>
        <w:t>5</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 xml:space="preserve">Whether or not the State proceeds with the action, upon a showing by the State that certain actions of discovery by the qui tam plaintiff initiating the action would interfere with the state’s investigation or prosecution of a criminal or civil matter arising out </w:t>
      </w:r>
      <w:r w:rsidRPr="006535B8">
        <w:rPr>
          <w:rFonts w:eastAsia="Times New Roman"/>
          <w:snapToGrid w:val="0"/>
          <w:color w:val="000000" w:themeColor="text1"/>
          <w:szCs w:val="20"/>
          <w:u w:color="000000" w:themeColor="text1"/>
        </w:rPr>
        <w:lastRenderedPageBreak/>
        <w:t>of the same facts, the court may stay discovery for a period of not more than sixty days.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showing must be conducted in camera.</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court may extend the sixty</w:t>
      </w:r>
      <w:r w:rsidRPr="006535B8">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14:paraId="7C83BE2A" w14:textId="68ABD061"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w:t>
      </w:r>
      <w:r w:rsidR="00D76F2A">
        <w:rPr>
          <w:rFonts w:eastAsia="Times New Roman"/>
          <w:snapToGrid w:val="0"/>
          <w:color w:val="000000" w:themeColor="text1"/>
          <w:szCs w:val="20"/>
          <w:u w:color="000000" w:themeColor="text1"/>
        </w:rPr>
        <w:t>6</w:t>
      </w:r>
      <w:r w:rsidRPr="006535B8">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an alternate remedy is pursued in another proceeding, the qui tam plaintiff initiating the action has the same rights in the proceeding as the qui tam plaintiff would have had if the action had continued pursuant to the provisions of this 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of fact or conclusion of law made in another proceeding that has become final is conclusive on all parties to an action pursuant to the provisions of this 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14:paraId="65233E9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award to a qui tam plaintiff:</w:t>
      </w:r>
    </w:p>
    <w:p w14:paraId="14248E35" w14:textId="681F0CA8"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6535B8">
        <w:rPr>
          <w:rFonts w:eastAsia="Times New Roman"/>
          <w:snapToGrid w:val="0"/>
          <w:color w:val="000000" w:themeColor="text1"/>
          <w:szCs w:val="20"/>
          <w:u w:color="000000" w:themeColor="text1"/>
        </w:rPr>
        <w:noBreakHyphen/>
        <w:t>five percent of the proceeds of the action or settlement of the claim, depending upon the extent to which the qui tam plaintiff substantially contributed to the prosecution of the action and subject to the limitations of this item.</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Payment to a qui tam plaintiff pursuant to the provisions of this item must be made from the proceeds.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This person also shall receive an amount for reasonable expenses which the court finds to have been necessarily incurred, plus reasonable </w:t>
      </w:r>
      <w:r>
        <w:rPr>
          <w:rFonts w:eastAsia="Times New Roman"/>
          <w:snapToGrid w:val="0"/>
          <w:color w:val="000000" w:themeColor="text1"/>
          <w:szCs w:val="20"/>
          <w:u w:color="000000" w:themeColor="text1"/>
        </w:rPr>
        <w:lastRenderedPageBreak/>
        <w:t>attorney</w:t>
      </w:r>
      <w:r w:rsidRPr="006535B8">
        <w:rPr>
          <w:rFonts w:eastAsia="Times New Roman"/>
          <w:snapToGrid w:val="0"/>
          <w:color w:val="000000" w:themeColor="text1"/>
          <w:szCs w:val="20"/>
          <w:u w:color="000000" w:themeColor="text1"/>
        </w:rPr>
        <w:t>s</w:t>
      </w:r>
      <w:r w:rsidR="00621801">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State also shall receive an amount for reasonable expenses which the court finds to have been necessarily incurred by the Attorney General</w:t>
      </w:r>
      <w:r>
        <w:rPr>
          <w:rFonts w:eastAsia="Times New Roman"/>
          <w:snapToGrid w:val="0"/>
          <w:color w:val="000000" w:themeColor="text1"/>
          <w:szCs w:val="20"/>
          <w:u w:color="000000" w:themeColor="text1"/>
        </w:rPr>
        <w:t>, including reasonable attorney</w:t>
      </w:r>
      <w:r w:rsidRPr="006535B8">
        <w:rPr>
          <w:rFonts w:eastAsia="Times New Roman"/>
          <w:snapToGrid w:val="0"/>
          <w:color w:val="000000" w:themeColor="text1"/>
          <w:szCs w:val="20"/>
          <w:u w:color="000000" w:themeColor="text1"/>
        </w:rPr>
        <w:t>s</w:t>
      </w:r>
      <w:r w:rsidR="0097719D">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 which must be paid directly to the Attorney General.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597043F2" w14:textId="75B5AF59"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amount may not be less than twenty</w:t>
      </w:r>
      <w:r w:rsidRPr="006535B8">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also shall receive an amount for reasonable expenses which the court finds to have been necessarily inc</w:t>
      </w:r>
      <w:r>
        <w:rPr>
          <w:rFonts w:eastAsia="Times New Roman"/>
          <w:snapToGrid w:val="0"/>
          <w:color w:val="000000" w:themeColor="text1"/>
          <w:szCs w:val="20"/>
          <w:u w:color="000000" w:themeColor="text1"/>
        </w:rPr>
        <w:t>urred, plus reasonable attorney</w:t>
      </w:r>
      <w:r w:rsidRPr="006535B8">
        <w:rPr>
          <w:rFonts w:eastAsia="Times New Roman"/>
          <w:snapToGrid w:val="0"/>
          <w:color w:val="000000" w:themeColor="text1"/>
          <w:szCs w:val="20"/>
          <w:u w:color="000000" w:themeColor="text1"/>
        </w:rPr>
        <w:t>s</w:t>
      </w:r>
      <w:r w:rsidR="0097719D">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costs.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expenses, fees, and costs must be awarded against the defendant.</w:t>
      </w:r>
    </w:p>
    <w:p w14:paraId="42EB79B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bringing the action is convicted of criminal conduct arising from his role in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that person must be dismissed from the civil action and shall not receive a share of the proceeds of the action.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dismissal does not prejudice the right of the State or other qui tam plaintiffs to continue the action.</w:t>
      </w:r>
    </w:p>
    <w:p w14:paraId="5EA89940" w14:textId="17D5BD53"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w:t>
      </w:r>
      <w:r>
        <w:rPr>
          <w:rFonts w:eastAsia="Times New Roman"/>
          <w:snapToGrid w:val="0"/>
          <w:color w:val="000000" w:themeColor="text1"/>
          <w:szCs w:val="20"/>
          <w:u w:color="000000" w:themeColor="text1"/>
        </w:rPr>
        <w:t>endant its reasonable attorneys</w:t>
      </w:r>
      <w:r w:rsidR="00204519">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 and expenses if the defendant prevails in the action and the court finds by clear and convincing evidence that the claim of the person bringing the action was clearly frivolous, clearly vexatious, or brought primarily for purposes of harassment.</w:t>
      </w:r>
    </w:p>
    <w:p w14:paraId="050C023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(E)(1)</w:t>
      </w:r>
      <w:r w:rsidRPr="006535B8">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14:paraId="38BCF8C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A court does not have jurisdiction over an action brought pursuant to subsection (B) against a member of the General Assembly, a member of the judiciary, or an exempt official if the action is based on evidence or information known to the State when </w:t>
      </w:r>
      <w:r w:rsidRPr="006535B8">
        <w:rPr>
          <w:rFonts w:eastAsia="Times New Roman"/>
          <w:snapToGrid w:val="0"/>
          <w:color w:val="000000" w:themeColor="text1"/>
          <w:szCs w:val="20"/>
          <w:u w:color="000000" w:themeColor="text1"/>
        </w:rPr>
        <w:lastRenderedPageBreak/>
        <w:t>the action was brought.</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‘Exempt official’ means the following officials in state service: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directors of state agencies, the Adjutant General, the Assistant Adjutant General, members of state boards and commissions, and all other positions appointed by the Governor by and with the consent of the Senate.</w:t>
      </w:r>
    </w:p>
    <w:p w14:paraId="449FCD9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14:paraId="41A0078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(4)(a)</w:t>
      </w:r>
      <w:r w:rsidRPr="006535B8">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14:paraId="334CC94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w:t>
      </w:r>
      <w:r w:rsidRPr="006535B8">
        <w:rPr>
          <w:rFonts w:eastAsia="Times New Roman"/>
          <w:snapToGrid w:val="0"/>
          <w:color w:val="000000" w:themeColor="text1"/>
          <w:szCs w:val="20"/>
          <w:u w:color="000000" w:themeColor="text1"/>
        </w:rPr>
        <w:tab/>
        <w:t>in a criminal, civil, or administrative hearing, in which the State or its agent is a party;</w:t>
      </w:r>
    </w:p>
    <w:p w14:paraId="23D2E52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w:t>
      </w:r>
      <w:r w:rsidRPr="006535B8">
        <w:rPr>
          <w:rFonts w:eastAsia="Times New Roman"/>
          <w:snapToGrid w:val="0"/>
          <w:color w:val="000000" w:themeColor="text1"/>
          <w:szCs w:val="20"/>
          <w:u w:color="000000" w:themeColor="text1"/>
        </w:rPr>
        <w:tab/>
        <w:t>in a legislative, government accountability office, or other State report, hearing, audit, or investigation;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CAE487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(iii)</w:t>
      </w:r>
      <w:r w:rsidRPr="006535B8">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14:paraId="751EA64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14:paraId="33DE536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The State is not liable for expenses which a person incurs in bringing an action pursuant to this section.</w:t>
      </w:r>
    </w:p>
    <w:p w14:paraId="73326D4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because of lawful acts done by the employee, contractor, agent, or associated others in furtherance of an action under this section or other efforts to stop one or more violations of this subchapter,</w:t>
      </w:r>
    </w:p>
    <w:p w14:paraId="70966AD2" w14:textId="2AA1DF24"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 xml:space="preserve">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w:t>
      </w:r>
      <w:r w:rsidRPr="006535B8">
        <w:rPr>
          <w:rFonts w:eastAsia="Times New Roman"/>
          <w:snapToGrid w:val="0"/>
          <w:color w:val="000000" w:themeColor="text1"/>
          <w:szCs w:val="20"/>
          <w:u w:color="000000" w:themeColor="text1"/>
        </w:rPr>
        <w:lastRenderedPageBreak/>
        <w:t>litigation costs and reasonable attorneys</w:t>
      </w:r>
      <w:r w:rsidR="0097719D">
        <w:rPr>
          <w:rFonts w:eastAsia="Times New Roman"/>
          <w:snapToGrid w:val="0"/>
          <w:color w:val="000000" w:themeColor="text1"/>
          <w:szCs w:val="20"/>
          <w:u w:color="000000" w:themeColor="text1"/>
        </w:rPr>
        <w:t>’</w:t>
      </w:r>
      <w:r w:rsidRPr="006535B8">
        <w:rPr>
          <w:rFonts w:eastAsia="Times New Roman"/>
          <w:snapToGrid w:val="0"/>
          <w:color w:val="000000" w:themeColor="text1"/>
          <w:szCs w:val="20"/>
          <w:u w:color="000000" w:themeColor="text1"/>
        </w:rPr>
        <w:t xml:space="preserve"> fees.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action under this subsection may be brought in the appropriate circuit court for the relief provided in this subsection.</w:t>
      </w:r>
    </w:p>
    <w:p w14:paraId="558CDF3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A civil action under this subsection may not be brought more than three years after the date when the retaliation occurred.</w:t>
      </w:r>
      <w:r w:rsidR="00964802">
        <w:rPr>
          <w:rFonts w:eastAsia="Times New Roman"/>
          <w:snapToGrid w:val="0"/>
          <w:color w:val="000000" w:themeColor="text1"/>
          <w:szCs w:val="20"/>
          <w:u w:color="000000" w:themeColor="text1"/>
        </w:rPr>
        <w:t xml:space="preserve"> </w:t>
      </w:r>
    </w:p>
    <w:p w14:paraId="185C349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45A8F7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50.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 subpoena requiring the attendance of a witness at a trial or hearing conducted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be served at any place in the State.</w:t>
      </w:r>
    </w:p>
    <w:p w14:paraId="413EF02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civil action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not be brought:</w:t>
      </w:r>
    </w:p>
    <w:p w14:paraId="268F977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more than six years after the date on which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is committed;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6DB2191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14:paraId="6478E93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14:paraId="0D987C0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action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14:paraId="2DDB4BE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40(A) or (B).</w:t>
      </w:r>
    </w:p>
    <w:p w14:paraId="50FC70B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7F7D812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 xml:space="preserve">Whenever the Attorney General, or a designee (for purposes of this section), has reason to believe that a person may be in possession, custody, or control of documentary material or information relevant to an investigation, the Attorney </w:t>
      </w:r>
      <w:r w:rsidRPr="006535B8">
        <w:rPr>
          <w:rFonts w:eastAsia="Times New Roman"/>
          <w:snapToGrid w:val="0"/>
          <w:color w:val="000000" w:themeColor="text1"/>
          <w:szCs w:val="20"/>
          <w:u w:color="000000" w:themeColor="text1"/>
        </w:rPr>
        <w:lastRenderedPageBreak/>
        <w:t>General, or designee, before commencing a civil proceeding pursuant to this chapter, may issue in writing and cause to be served upon a person, a civil investigative demand requiring the person to:</w:t>
      </w:r>
    </w:p>
    <w:p w14:paraId="0CD0E9D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produce documentary material for inspection and copying;</w:t>
      </w:r>
    </w:p>
    <w:p w14:paraId="45A6F4B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answer, in writing, written interrogatories with respect to documentary material or information;</w:t>
      </w:r>
    </w:p>
    <w:p w14:paraId="310782C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give oral testimony concerning documentary material or information; or</w:t>
      </w:r>
    </w:p>
    <w:p w14:paraId="0831B64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furnish a combination of material, answers, or testimony.</w:t>
      </w:r>
    </w:p>
    <w:p w14:paraId="762AD0C1" w14:textId="7A16CD0D"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Attorney General may delegate the authority to issue civil investigative demands under this subsection.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Any information obtained by the Attorney General or a designee of the Attorney General under this section may be shared with any qui tam plaintiff if the Attorney General or designee determine</w:t>
      </w:r>
      <w:r w:rsidR="00554B2C">
        <w:rPr>
          <w:rFonts w:eastAsia="Times New Roman"/>
          <w:snapToGrid w:val="0"/>
          <w:color w:val="000000" w:themeColor="text1"/>
          <w:szCs w:val="20"/>
          <w:u w:color="000000" w:themeColor="text1"/>
        </w:rPr>
        <w:t>s</w:t>
      </w:r>
      <w:r w:rsidRPr="006535B8">
        <w:rPr>
          <w:rFonts w:eastAsia="Times New Roman"/>
          <w:snapToGrid w:val="0"/>
          <w:color w:val="000000" w:themeColor="text1"/>
          <w:szCs w:val="20"/>
          <w:u w:color="000000" w:themeColor="text1"/>
        </w:rPr>
        <w:t xml:space="preserve"> it is necessary as part of any f</w:t>
      </w:r>
      <w:r>
        <w:rPr>
          <w:rFonts w:eastAsia="Times New Roman"/>
          <w:snapToGrid w:val="0"/>
          <w:color w:val="000000" w:themeColor="text1"/>
          <w:szCs w:val="20"/>
          <w:u w:color="000000" w:themeColor="text1"/>
        </w:rPr>
        <w:t>alse claims act investigation.</w:t>
      </w:r>
    </w:p>
    <w:p w14:paraId="63976BD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14:paraId="43109DA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If the demand is for the production of documentary material, the demand must:</w:t>
      </w:r>
    </w:p>
    <w:p w14:paraId="6F7BD56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14:paraId="7CB66E7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a return date for each class which will provide a reasonable period of time within which the material demanded may be assembled and made available for inspection and copying;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7DB89EE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material must be made available.</w:t>
      </w:r>
    </w:p>
    <w:p w14:paraId="2EB5BFE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If the demand is for answers to written interrogatories, the demand must:</w:t>
      </w:r>
    </w:p>
    <w:p w14:paraId="0D8F66E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list with specificity the written interrogatories to be answered;</w:t>
      </w:r>
    </w:p>
    <w:p w14:paraId="516C1E1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dates at which time answers to written interrogatories must be submitted;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3BCB0E3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answers must be submitted.</w:t>
      </w:r>
    </w:p>
    <w:p w14:paraId="77EDB7E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If the demand is for the giving of oral testimony, the demand must:</w:t>
      </w:r>
    </w:p>
    <w:p w14:paraId="75B5549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prescribe a date, time, and place at which oral testimony must be commenced;</w:t>
      </w:r>
    </w:p>
    <w:p w14:paraId="487BE55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14:paraId="5419765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specify that the attendance and testimony are necessary to the conduct of the investigation;</w:t>
      </w:r>
    </w:p>
    <w:p w14:paraId="6FDDFBF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notify the person receiving the demand of the right to be accompanied by an attorney and another representative;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3217FF1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14:paraId="5DA1A61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14:paraId="1D6CA10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14:paraId="6B6B8FD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14:paraId="187A31A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(J)</w:t>
      </w:r>
      <w:r w:rsidRPr="006535B8">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14:paraId="22D09C6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subpoenas or subpoenas duces tecum issued by a court of this State to aid in grand jury investigations;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380C099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discovery requests pursuant to the Rules of Civil Procedure, to the extent that the application of these standards to a </w:t>
      </w:r>
      <w:r w:rsidRPr="006535B8">
        <w:rPr>
          <w:rFonts w:eastAsia="Times New Roman"/>
          <w:snapToGrid w:val="0"/>
          <w:color w:val="000000" w:themeColor="text1"/>
          <w:szCs w:val="20"/>
          <w:u w:color="000000" w:themeColor="text1"/>
        </w:rPr>
        <w:lastRenderedPageBreak/>
        <w:t>demand is appropriate and consistent with the provisions and purposes of this section.</w:t>
      </w:r>
    </w:p>
    <w:p w14:paraId="40D96D6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(K)</w:t>
      </w:r>
      <w:r w:rsidRPr="006535B8">
        <w:rPr>
          <w:rFonts w:eastAsia="Times New Roman"/>
          <w:snapToGrid w:val="0"/>
          <w:color w:val="000000" w:themeColor="text1"/>
          <w:szCs w:val="20"/>
          <w:u w:color="000000" w:themeColor="text1"/>
        </w:rPr>
        <w:tab/>
        <w:t>Except as provided in this section, a demand which is an express demand for a product of discovery supersedes an inconsistent order, rule, or provision of law preventing or restraining disclosure of a product of discovery to another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Disclosure of a product of discovery pursuant to an express demand does not constitute a waiver of any right or privilege which the person making the disclosure may be entitled to invoke to resist discovery of trial preparation materials.</w:t>
      </w:r>
    </w:p>
    <w:p w14:paraId="7045F58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46EA4830"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70.</w:t>
      </w:r>
      <w:r w:rsidRPr="006535B8">
        <w:rPr>
          <w:rFonts w:eastAsia="Times New Roman"/>
          <w:snapToGrid w:val="0"/>
          <w:color w:val="000000" w:themeColor="text1"/>
          <w:szCs w:val="20"/>
          <w:u w:color="000000" w:themeColor="text1"/>
        </w:rPr>
        <w:tab/>
        <w:t>(A)(1)</w:t>
      </w:r>
      <w:r w:rsidRPr="006535B8">
        <w:rPr>
          <w:rFonts w:eastAsia="Times New Roman"/>
          <w:snapToGrid w:val="0"/>
          <w:color w:val="000000" w:themeColor="text1"/>
          <w:szCs w:val="20"/>
          <w:u w:color="000000" w:themeColor="text1"/>
        </w:rPr>
        <w:tab/>
        <w:t>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14:paraId="24E0402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demand or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14:paraId="4A0A663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Service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of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upon a partnership, corporation, association, or other legal entity by:</w:t>
      </w:r>
    </w:p>
    <w:p w14:paraId="0C005FD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14:paraId="056896D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delivering an executed copy of the demand or petition to the principal office or place of business of the partnership, corporation, association, or entity;</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1870702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14:paraId="2C8A85A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Service of a demand or petition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on a natural person by:</w:t>
      </w:r>
    </w:p>
    <w:p w14:paraId="5935D4B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012F7A0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14:paraId="1568514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A verified return by the individual serving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providing the manner of service is proof of service.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service by registered or certified mail, the return is accompanied by the return post office receipt of delivery of the demand.</w:t>
      </w:r>
    </w:p>
    <w:p w14:paraId="5E03E81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56EC908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80.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made under a sworn certificate, in a form as the demand designates, by:</w:t>
      </w:r>
    </w:p>
    <w:p w14:paraId="4C70F05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23C22CE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14:paraId="6B406856"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14:paraId="20EF98B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material must be made available on the return date specified in the demand, or on a later date as the investigator may prescribe in writing.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upon written agreement between the person and the investigator, may substitute copies for originals of all or any part of the material.</w:t>
      </w:r>
    </w:p>
    <w:p w14:paraId="22C2667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16E2CA9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90.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Each interrogatory in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 xml:space="preserve">60 must be answered separately and fully in writing under oath and must be </w:t>
      </w:r>
      <w:r w:rsidRPr="006535B8">
        <w:rPr>
          <w:rFonts w:eastAsia="Times New Roman"/>
          <w:snapToGrid w:val="0"/>
          <w:color w:val="000000" w:themeColor="text1"/>
          <w:szCs w:val="20"/>
          <w:u w:color="000000" w:themeColor="text1"/>
        </w:rPr>
        <w:lastRenderedPageBreak/>
        <w:t>submitted under a sworn certificate, in a form as the demand designates by:</w:t>
      </w:r>
    </w:p>
    <w:p w14:paraId="1582BC0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537422B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14:paraId="2964E64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If an interrogatory is objected to, the reasons for the objection must be stated in the certificate instead of an answer.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certificate must state that all information required by the demand and in the possession, custody, control, or knowledge of the person to whom the demand is directed has been submitted.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To the extent that information is not furnished, the information must be identified and reasons provided with particularity regarding the reasons why the information was not furnished.</w:t>
      </w:r>
    </w:p>
    <w:p w14:paraId="1EE402A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2C474D2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officer before whom the testimony is to be taken shall put the witness under oath or affirmation and, personally or by someone acting under the direction of the officer and in the officer’s presence, shall record the testimony of the witness.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testimony must be taken stenographically and must be transcribed.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 the testimony is fully transcribed, the officer before whom the testimony is taken shall promptly transmit a copy of the transcript of the testimony to the custodian.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This subsection does not preclude the taking of testimony by another means authorized by, and in a manner consistent with, the Rules of Civil Procedure or other applicable statutory law.</w:t>
      </w:r>
    </w:p>
    <w:p w14:paraId="46670A96" w14:textId="40F6C276"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w:t>
      </w:r>
      <w:r w:rsidR="00813A5B">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 the person giving the testimony, the officer before whom the testimony is to be taken, and a stenographer taking the testimony.</w:t>
      </w:r>
    </w:p>
    <w:p w14:paraId="7A0DF24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oral testimony of a person taken pursuant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14:paraId="0414B38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(D)</w:t>
      </w:r>
      <w:r w:rsidRPr="006535B8">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Changes in form or substance which the witness desires to make must be entered and identified upon the transcript by the officer or the investigator, with a statement of the reasons given by the witness for making the changes.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transcript must then be signed by the witness, unless the witness in writing waives the signing, is ill, cannot be found, or refuses to sign.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14:paraId="2938608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14:paraId="72DB884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14:paraId="6B092F2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be accompanied, represented, and advised by counsel.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Counsel may advise the person, in confidence, with respect to a question asked of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person or counsel may object on the record to a question, in whole or in part, and shall briefly state for the record the reason for the objection.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 objection may be made, received, and entered upon the record when it is claimed that the person is entitled to refuse to answer the question on the grounds of a constitutional or other legal right or privilege, including the privilege against self</w:t>
      </w:r>
      <w:r w:rsidRPr="006535B8">
        <w:rPr>
          <w:rFonts w:eastAsia="Times New Roman"/>
          <w:snapToGrid w:val="0"/>
          <w:color w:val="000000" w:themeColor="text1"/>
          <w:szCs w:val="20"/>
          <w:u w:color="000000" w:themeColor="text1"/>
        </w:rPr>
        <w:noBreakHyphen/>
        <w:t>incrimination.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If the person refuses to answer a question, a petition may be filed in circuit court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 for an order compelling the person to answer the question.</w:t>
      </w:r>
    </w:p>
    <w:p w14:paraId="5A6350D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A person appearing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entitled to the same fees and allowances which are paid to witnesses in the circuit court.</w:t>
      </w:r>
    </w:p>
    <w:p w14:paraId="2F207E2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C946D4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110.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14:paraId="3531A8E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Except as otherwise provided in this section, no documentary material, answers to interrogatories, or transcripts of oral testimony, or copies of these, while in the possession of the custodian, are available for examination.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w:t>
      </w:r>
      <w:r>
        <w:rPr>
          <w:rFonts w:eastAsia="Times New Roman"/>
          <w:snapToGrid w:val="0"/>
          <w:color w:val="000000" w:themeColor="text1"/>
          <w:szCs w:val="20"/>
          <w:u w:color="000000" w:themeColor="text1"/>
        </w:rPr>
        <w:t>tive entity of another state.</w:t>
      </w:r>
    </w:p>
    <w:p w14:paraId="4D291A1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14:paraId="3CDA56A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documentary material and answers to interrogatories must be available for examination by the person who produced the material or answers, or by a representative for that person authorized by that person to examine the material and answers;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1F3AC89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14:paraId="2D2D273D"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38470A5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 a person fails to comply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14:paraId="18650B9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has received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 xml:space="preserve">60 may file, in the circuit court of a county within which the person resides, is found, or transacts business, and serve upon the investigator identified in the demand a </w:t>
      </w:r>
      <w:r w:rsidRPr="006535B8">
        <w:rPr>
          <w:rFonts w:eastAsia="Times New Roman"/>
          <w:snapToGrid w:val="0"/>
          <w:color w:val="000000" w:themeColor="text1"/>
          <w:szCs w:val="20"/>
          <w:u w:color="000000" w:themeColor="text1"/>
        </w:rPr>
        <w:lastRenderedPageBreak/>
        <w:t>petition for an order of the court to modify or set aside the demand.</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In the case of a petition addressed to an express demand for a product of discovery, a petition to modify or set aside the demand may be brought only in the circuit court of the county in which the proceeding in which discovery was obtained or was last pending.</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7779909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0DACE5AC"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3CF3B1DB"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14:paraId="6BFAE524"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the case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petition pursuant to this subsection must be filed within:</w:t>
      </w:r>
    </w:p>
    <w:p w14:paraId="133573F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 days after the date of service of the civil investigative demand, or at a time before the return date specified in the demand, whichever date is earlier;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14:paraId="04AE9523"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14:paraId="389C215A"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During the pendency of the petition, the court may stay, as it deems proper, compliance with the demand and the running of the time allowed from compliance with the demand.</w:t>
      </w:r>
    </w:p>
    <w:p w14:paraId="58B85807"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(F)</w:t>
      </w:r>
      <w:r w:rsidRPr="006535B8">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14:paraId="3315F8A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final order entered is subject to appeal in the same manner as appeals of other final orders in civil matters.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 disobedience of a final order entered pursuant to this section by a court is punishable as contempt of court.</w:t>
      </w:r>
    </w:p>
    <w:p w14:paraId="6CF219E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exempt from disclosure under the South Carolina Administrative Procedures Act.</w:t>
      </w:r>
    </w:p>
    <w:p w14:paraId="1ED7B172"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53BF1AA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All proceeds of an action or settlement of a claim brought pursuant to this chapter must be deposited in the fund, except that in cases involving Medicaid, the proceeds deposited will be after repayment of the federal share.</w:t>
      </w:r>
    </w:p>
    <w:p w14:paraId="656F953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Monies in the fund must be allocated as follows: </w:t>
      </w:r>
    </w:p>
    <w:p w14:paraId="04BC89E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w:t>
      </w:r>
      <w:r w:rsidRPr="006535B8">
        <w:rPr>
          <w:rFonts w:eastAsia="Times New Roman"/>
          <w:snapToGrid w:val="0"/>
          <w:color w:val="000000" w:themeColor="text1"/>
          <w:szCs w:val="20"/>
          <w:u w:color="000000" w:themeColor="text1"/>
        </w:rPr>
        <w:noBreakHyphen/>
        <w:t>five percent of the monies must be retained by the Attorney General;</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14:paraId="5002D608"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remaining seventy</w:t>
      </w:r>
      <w:r w:rsidRPr="006535B8">
        <w:rPr>
          <w:rFonts w:eastAsia="Times New Roman"/>
          <w:snapToGrid w:val="0"/>
          <w:color w:val="000000" w:themeColor="text1"/>
          <w:szCs w:val="20"/>
          <w:u w:color="000000" w:themeColor="text1"/>
        </w:rPr>
        <w:noBreakHyphen/>
        <w:t>five percent of the monies in the fund must be used for payment of awards, calculated on the full amount, to qui tam plaintiffs, as provided in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40(D), and to persons who report, in good faith,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pursuant to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p>
    <w:p w14:paraId="17D9C17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6535B8">
        <w:rPr>
          <w:rFonts w:eastAsia="Times New Roman"/>
          <w:snapToGrid w:val="0"/>
          <w:color w:val="000000" w:themeColor="text1"/>
          <w:szCs w:val="20"/>
          <w:u w:color="000000" w:themeColor="text1"/>
        </w:rPr>
        <w:noBreakHyphen/>
        <w:t>five percent to the Attorney General and seventy</w:t>
      </w:r>
      <w:r w:rsidRPr="006535B8">
        <w:rPr>
          <w:rFonts w:eastAsia="Times New Roman"/>
          <w:snapToGrid w:val="0"/>
          <w:color w:val="000000" w:themeColor="text1"/>
          <w:szCs w:val="20"/>
          <w:u w:color="000000" w:themeColor="text1"/>
        </w:rPr>
        <w:noBreakHyphen/>
        <w:t>five percent to South Carolina Medicaid.</w:t>
      </w:r>
      <w:r w:rsidR="00964802">
        <w:rPr>
          <w:rFonts w:eastAsia="Times New Roman"/>
          <w:snapToGrid w:val="0"/>
          <w:color w:val="000000" w:themeColor="text1"/>
          <w:szCs w:val="20"/>
          <w:u w:color="000000" w:themeColor="text1"/>
        </w:rPr>
        <w:t xml:space="preserve"> </w:t>
      </w:r>
    </w:p>
    <w:p w14:paraId="17DF6319"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(C)</w:t>
      </w:r>
      <w:r w:rsidRPr="006535B8">
        <w:rPr>
          <w:rFonts w:eastAsia="Times New Roman"/>
          <w:snapToGrid w:val="0"/>
          <w:color w:val="000000" w:themeColor="text1"/>
          <w:szCs w:val="20"/>
          <w:u w:color="000000" w:themeColor="text1"/>
        </w:rPr>
        <w:tab/>
        <w:t>The Attorney General shall make disbursements of funds as provided in court orders setting awards, fees, and expenses.</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The Attorney General shall transfer fund balances in excess of those required to the General Fund; however, fund balances related to the South Carolina Medicaid Program shall be transferred to the Department of Health and Human Services.</w:t>
      </w:r>
    </w:p>
    <w:p w14:paraId="6FE97565"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6A49902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140.</w:t>
      </w:r>
      <w:r w:rsidRPr="006535B8">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14:paraId="232D5BE1"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1E2A836F"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96480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000F1BE" w14:textId="77777777" w:rsidR="008C2A24" w:rsidRPr="006535B8"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1F46FD9C" w14:textId="77777777" w:rsidR="00E03AAA" w:rsidRDefault="008C2A24" w:rsidP="008C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14:paraId="017C1F9E" w14:textId="77777777" w:rsidR="00E03AAA"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D5B0FD" w14:textId="77777777" w:rsidR="00E03AAA" w:rsidRPr="00522CE0" w:rsidRDefault="00E03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2A24">
        <w:rPr>
          <w:rFonts w:eastAsia="Times New Roman"/>
        </w:rPr>
        <w:t>4</w:t>
      </w:r>
      <w:r>
        <w:rPr>
          <w:rFonts w:eastAsia="Times New Roman"/>
        </w:rPr>
        <w:t>.</w:t>
      </w:r>
      <w:r>
        <w:rPr>
          <w:rFonts w:eastAsia="Times New Roman"/>
        </w:rPr>
        <w:tab/>
        <w:t>This act takes effect upon approval by the Governor.</w:t>
      </w:r>
    </w:p>
    <w:p w14:paraId="355F41F7" w14:textId="7E0F04B5" w:rsidR="00FD77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7BB2327" w14:textId="77777777" w:rsidR="008E6931" w:rsidRDefault="008E6931" w:rsidP="008E6931">
      <w:pPr>
        <w:suppressAutoHyphens/>
        <w:jc w:val="both"/>
        <w:rPr>
          <w:rFonts w:eastAsia="Times New Roman"/>
        </w:rPr>
      </w:pPr>
    </w:p>
    <w:sectPr w:rsidR="008E6931" w:rsidSect="008E69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9B8EB" w14:textId="77777777" w:rsidR="007B7CFB" w:rsidRDefault="007B7CFB" w:rsidP="00522CE0">
      <w:r>
        <w:separator/>
      </w:r>
    </w:p>
  </w:endnote>
  <w:endnote w:type="continuationSeparator" w:id="0">
    <w:p w14:paraId="672CFC2E" w14:textId="77777777" w:rsidR="007B7CFB" w:rsidRDefault="007B7C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D8E09E-3153-47E4-B3C7-0D7EED082EA1}"/>
    <w:embedBold r:id="rId2" w:fontKey="{CABBE2C9-CD55-4077-BA54-CE360C5C3FE9}"/>
  </w:font>
  <w:font w:name="Calibri">
    <w:panose1 w:val="020F0502020204030204"/>
    <w:charset w:val="00"/>
    <w:family w:val="swiss"/>
    <w:pitch w:val="variable"/>
    <w:sig w:usb0="E00002FF" w:usb1="4000ACFF" w:usb2="00000001" w:usb3="00000000" w:csb0="0000019F" w:csb1="00000000"/>
    <w:embedRegular r:id="rId3" w:fontKey="{0928270D-B018-49F0-B221-B8BCCD87CEC9}"/>
    <w:embedBold r:id="rId4" w:fontKey="{A296283C-3523-4B75-8DD2-7417FAB64AC9}"/>
  </w:font>
  <w:font w:name="Segoe UI">
    <w:panose1 w:val="020B0502040204020203"/>
    <w:charset w:val="00"/>
    <w:family w:val="swiss"/>
    <w:pitch w:val="variable"/>
    <w:sig w:usb0="E10022FF" w:usb1="C000E47F" w:usb2="00000029" w:usb3="00000000" w:csb0="000001DF" w:csb1="00000000"/>
    <w:embedRegular r:id="rId5" w:fontKey="{61CF2F3E-8D2F-4424-A125-D9EA6CA0667E}"/>
  </w:font>
  <w:font w:name="Cambria">
    <w:panose1 w:val="02040503050406030204"/>
    <w:charset w:val="00"/>
    <w:family w:val="roman"/>
    <w:pitch w:val="variable"/>
    <w:sig w:usb0="E00002FF" w:usb1="400004FF" w:usb2="00000000" w:usb3="00000000" w:csb0="0000019F" w:csb1="00000000"/>
    <w:embedRegular r:id="rId6" w:fontKey="{081D9113-92E9-4E49-959F-C1744612B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556CF" w14:textId="52FC1CEB" w:rsidR="00FD778B" w:rsidRPr="008E6931" w:rsidRDefault="008E6931" w:rsidP="008E6931">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1A7C2" w14:textId="77777777" w:rsidR="007B7CFB" w:rsidRDefault="007B7CFB" w:rsidP="00522CE0">
      <w:r>
        <w:separator/>
      </w:r>
    </w:p>
  </w:footnote>
  <w:footnote w:type="continuationSeparator" w:id="0">
    <w:p w14:paraId="06A1F873" w14:textId="77777777" w:rsidR="007B7CFB" w:rsidRDefault="007B7C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8.DMR"/>
    <w:docVar w:name="CoverAttorneyInitials" w:val="DMR"/>
    <w:docVar w:name="CoverAttorneyLastName" w:val="Riley"/>
    <w:docVar w:name="CoverBillType" w:val="b"/>
    <w:docVar w:name="DraftFileName" w:val="JUD0008.DMR.DOCX"/>
    <w:docVar w:name="DraftStenoName" w:val="Henry"/>
    <w:docVar w:name="dvBillNumber" w:val="40"/>
    <w:docVar w:name="dvBillNumberPrefix" w:val="S. "/>
    <w:docVar w:name="dvOriginalBody" w:val="Senate"/>
    <w:docVar w:name="fulldraftpath" w:val="L:\S-JUD\BILLS\Malloy\JUD0008.DMR.DOCX"/>
    <w:docVar w:name="NameofBody" w:val="S"/>
    <w:docVar w:name="SenatorFolderName" w:val="Malloy"/>
    <w:docVar w:name="VGROUP2" w:val="S-JUD"/>
  </w:docVars>
  <w:rsids>
    <w:rsidRoot w:val="00E03AAA"/>
    <w:rsid w:val="000141EB"/>
    <w:rsid w:val="00016741"/>
    <w:rsid w:val="00042AC1"/>
    <w:rsid w:val="00046516"/>
    <w:rsid w:val="000A4D08"/>
    <w:rsid w:val="000A6988"/>
    <w:rsid w:val="000A7362"/>
    <w:rsid w:val="000B0720"/>
    <w:rsid w:val="000B5EAF"/>
    <w:rsid w:val="000E473B"/>
    <w:rsid w:val="000F002B"/>
    <w:rsid w:val="00107C3D"/>
    <w:rsid w:val="00121E9A"/>
    <w:rsid w:val="00126995"/>
    <w:rsid w:val="0016543B"/>
    <w:rsid w:val="00170561"/>
    <w:rsid w:val="00186AC9"/>
    <w:rsid w:val="00190F47"/>
    <w:rsid w:val="00197DF1"/>
    <w:rsid w:val="001B3DD9"/>
    <w:rsid w:val="001C23C9"/>
    <w:rsid w:val="001D1E80"/>
    <w:rsid w:val="001D3BAC"/>
    <w:rsid w:val="00204519"/>
    <w:rsid w:val="00206D3D"/>
    <w:rsid w:val="0021330E"/>
    <w:rsid w:val="00221A5C"/>
    <w:rsid w:val="0024519E"/>
    <w:rsid w:val="00245C4E"/>
    <w:rsid w:val="002A3627"/>
    <w:rsid w:val="002C5896"/>
    <w:rsid w:val="002E203D"/>
    <w:rsid w:val="002E5DA5"/>
    <w:rsid w:val="002E7B2B"/>
    <w:rsid w:val="00307C2B"/>
    <w:rsid w:val="0031409E"/>
    <w:rsid w:val="0032109A"/>
    <w:rsid w:val="00333DF1"/>
    <w:rsid w:val="0033541C"/>
    <w:rsid w:val="00364389"/>
    <w:rsid w:val="003A00DD"/>
    <w:rsid w:val="003A414E"/>
    <w:rsid w:val="003D6A5D"/>
    <w:rsid w:val="003D6E2B"/>
    <w:rsid w:val="003E7597"/>
    <w:rsid w:val="00412C9E"/>
    <w:rsid w:val="0042257B"/>
    <w:rsid w:val="004324E4"/>
    <w:rsid w:val="00450668"/>
    <w:rsid w:val="00452CD7"/>
    <w:rsid w:val="004605D6"/>
    <w:rsid w:val="00477696"/>
    <w:rsid w:val="00486B8D"/>
    <w:rsid w:val="004952FA"/>
    <w:rsid w:val="004A05F7"/>
    <w:rsid w:val="004A592F"/>
    <w:rsid w:val="004B3C6F"/>
    <w:rsid w:val="004B6A22"/>
    <w:rsid w:val="004C2918"/>
    <w:rsid w:val="004D168C"/>
    <w:rsid w:val="004D6923"/>
    <w:rsid w:val="004D7F37"/>
    <w:rsid w:val="00501303"/>
    <w:rsid w:val="005047BD"/>
    <w:rsid w:val="0051584C"/>
    <w:rsid w:val="00520D79"/>
    <w:rsid w:val="00522CE0"/>
    <w:rsid w:val="00525DCD"/>
    <w:rsid w:val="00541FF6"/>
    <w:rsid w:val="0054526E"/>
    <w:rsid w:val="00554B2C"/>
    <w:rsid w:val="00565148"/>
    <w:rsid w:val="00567C4F"/>
    <w:rsid w:val="00581497"/>
    <w:rsid w:val="00586B30"/>
    <w:rsid w:val="0058748C"/>
    <w:rsid w:val="00593361"/>
    <w:rsid w:val="005A5017"/>
    <w:rsid w:val="005A648C"/>
    <w:rsid w:val="005F15E4"/>
    <w:rsid w:val="00600221"/>
    <w:rsid w:val="00606D23"/>
    <w:rsid w:val="00621801"/>
    <w:rsid w:val="00641A16"/>
    <w:rsid w:val="006431BA"/>
    <w:rsid w:val="00683280"/>
    <w:rsid w:val="006B4B3C"/>
    <w:rsid w:val="006C74EA"/>
    <w:rsid w:val="00720D40"/>
    <w:rsid w:val="0073026D"/>
    <w:rsid w:val="007311B4"/>
    <w:rsid w:val="007318D4"/>
    <w:rsid w:val="00746551"/>
    <w:rsid w:val="0076552B"/>
    <w:rsid w:val="00765784"/>
    <w:rsid w:val="00785E76"/>
    <w:rsid w:val="007A4390"/>
    <w:rsid w:val="007A682C"/>
    <w:rsid w:val="007B7CFB"/>
    <w:rsid w:val="007C65B0"/>
    <w:rsid w:val="007E3B8F"/>
    <w:rsid w:val="007E5CB7"/>
    <w:rsid w:val="00813A5B"/>
    <w:rsid w:val="00814EED"/>
    <w:rsid w:val="00816568"/>
    <w:rsid w:val="008314D2"/>
    <w:rsid w:val="00834860"/>
    <w:rsid w:val="00846A15"/>
    <w:rsid w:val="008804AE"/>
    <w:rsid w:val="00894939"/>
    <w:rsid w:val="008B2F42"/>
    <w:rsid w:val="008C2A24"/>
    <w:rsid w:val="008E12DA"/>
    <w:rsid w:val="008E185F"/>
    <w:rsid w:val="008E5870"/>
    <w:rsid w:val="008E6931"/>
    <w:rsid w:val="008F023B"/>
    <w:rsid w:val="008F7524"/>
    <w:rsid w:val="00904E16"/>
    <w:rsid w:val="00927C62"/>
    <w:rsid w:val="00931A96"/>
    <w:rsid w:val="00954034"/>
    <w:rsid w:val="00964802"/>
    <w:rsid w:val="0097719D"/>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AF6816"/>
    <w:rsid w:val="00B030B6"/>
    <w:rsid w:val="00B10098"/>
    <w:rsid w:val="00B10E10"/>
    <w:rsid w:val="00B35389"/>
    <w:rsid w:val="00B43327"/>
    <w:rsid w:val="00B450FF"/>
    <w:rsid w:val="00B47304"/>
    <w:rsid w:val="00B50A88"/>
    <w:rsid w:val="00B5553B"/>
    <w:rsid w:val="00B66C95"/>
    <w:rsid w:val="00B67A46"/>
    <w:rsid w:val="00B768A9"/>
    <w:rsid w:val="00B945C5"/>
    <w:rsid w:val="00BA20EA"/>
    <w:rsid w:val="00BB754E"/>
    <w:rsid w:val="00BC0A56"/>
    <w:rsid w:val="00C23348"/>
    <w:rsid w:val="00C361B2"/>
    <w:rsid w:val="00C6454A"/>
    <w:rsid w:val="00C74052"/>
    <w:rsid w:val="00CB187A"/>
    <w:rsid w:val="00CD1843"/>
    <w:rsid w:val="00CD7C71"/>
    <w:rsid w:val="00CF6B54"/>
    <w:rsid w:val="00D05246"/>
    <w:rsid w:val="00D1088B"/>
    <w:rsid w:val="00D123BB"/>
    <w:rsid w:val="00D156D2"/>
    <w:rsid w:val="00D76F2A"/>
    <w:rsid w:val="00D77EC0"/>
    <w:rsid w:val="00D86943"/>
    <w:rsid w:val="00DA47B9"/>
    <w:rsid w:val="00E03AAA"/>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77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891699"/>
  <w15:docId w15:val="{C8D4F74B-0528-4749-86E7-57492CC6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F6B54"/>
    <w:rPr>
      <w:sz w:val="16"/>
      <w:szCs w:val="16"/>
    </w:rPr>
  </w:style>
  <w:style w:type="paragraph" w:styleId="CommentText">
    <w:name w:val="annotation text"/>
    <w:basedOn w:val="Normal"/>
    <w:link w:val="CommentTextChar"/>
    <w:uiPriority w:val="99"/>
    <w:semiHidden/>
    <w:unhideWhenUsed/>
    <w:rsid w:val="00CF6B54"/>
    <w:rPr>
      <w:sz w:val="20"/>
      <w:szCs w:val="20"/>
    </w:rPr>
  </w:style>
  <w:style w:type="character" w:customStyle="1" w:styleId="CommentTextChar">
    <w:name w:val="Comment Text Char"/>
    <w:basedOn w:val="DefaultParagraphFont"/>
    <w:link w:val="CommentText"/>
    <w:uiPriority w:val="99"/>
    <w:semiHidden/>
    <w:rsid w:val="00CF6B54"/>
    <w:rPr>
      <w:sz w:val="20"/>
      <w:szCs w:val="20"/>
    </w:rPr>
  </w:style>
  <w:style w:type="paragraph" w:styleId="CommentSubject">
    <w:name w:val="annotation subject"/>
    <w:basedOn w:val="CommentText"/>
    <w:next w:val="CommentText"/>
    <w:link w:val="CommentSubjectChar"/>
    <w:uiPriority w:val="99"/>
    <w:semiHidden/>
    <w:unhideWhenUsed/>
    <w:rsid w:val="00CF6B54"/>
    <w:rPr>
      <w:b/>
      <w:bCs/>
    </w:rPr>
  </w:style>
  <w:style w:type="character" w:customStyle="1" w:styleId="CommentSubjectChar">
    <w:name w:val="Comment Subject Char"/>
    <w:basedOn w:val="CommentTextChar"/>
    <w:link w:val="CommentSubject"/>
    <w:uiPriority w:val="99"/>
    <w:semiHidden/>
    <w:rsid w:val="00CF6B54"/>
    <w:rPr>
      <w:b/>
      <w:bCs/>
      <w:sz w:val="20"/>
      <w:szCs w:val="20"/>
    </w:rPr>
  </w:style>
  <w:style w:type="paragraph" w:styleId="BalloonText">
    <w:name w:val="Balloon Text"/>
    <w:basedOn w:val="Normal"/>
    <w:link w:val="BalloonTextChar"/>
    <w:uiPriority w:val="99"/>
    <w:semiHidden/>
    <w:unhideWhenUsed/>
    <w:rsid w:val="00CF6B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B54"/>
    <w:rPr>
      <w:rFonts w:ascii="Segoe UI" w:hAnsi="Segoe UI" w:cs="Segoe UI"/>
      <w:sz w:val="18"/>
      <w:szCs w:val="18"/>
    </w:rPr>
  </w:style>
  <w:style w:type="character" w:styleId="Strong">
    <w:name w:val="Strong"/>
    <w:basedOn w:val="DefaultParagraphFont"/>
    <w:uiPriority w:val="22"/>
    <w:qFormat/>
    <w:rsid w:val="00CF6B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20</Pages>
  <Words>7928</Words>
  <Characters>39968</Characters>
  <Application>Microsoft Office Word</Application>
  <DocSecurity>0</DocSecurity>
  <Lines>850</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 Text of Previous Version (Dec. 12, 2018) - South Carolina Legislature Online</dc:title>
  <dc:subject/>
  <dc:creator>Daina Riley</dc:creator>
  <cp:keywords/>
  <dc:description/>
  <cp:lastModifiedBy>S Volk</cp:lastModifiedBy>
  <cp:revision>2</cp:revision>
  <dcterms:created xsi:type="dcterms:W3CDTF">2018-12-12T19:20:00Z</dcterms:created>
  <dcterms:modified xsi:type="dcterms:W3CDTF">2018-12-12T19:20:00Z</dcterms:modified>
</cp:coreProperties>
</file>