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F15" w:rsidRDefault="00024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1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EB5D13">
        <w:noBreakHyphen/>
      </w:r>
      <w:r>
        <w:t>7</w:t>
      </w:r>
      <w:r w:rsidR="00EB5D13">
        <w:noBreakHyphen/>
      </w:r>
      <w:r>
        <w:t xml:space="preserve">25 SO AS </w:t>
      </w:r>
      <w:r w:rsidR="000C4B3D">
        <w:t xml:space="preserve">TO </w:t>
      </w:r>
      <w:r>
        <w:t>PROVIDE THAT THE GOVERNING BODY OF A COUNTY OR MUNICIPALITY BY ORDINANCE MAY INSTITUTE A CONVENIENCE FEE FOR THE ELECTRONIC PAYMENT OF TRAFFIC AND OTHER CITATIONS ISSUED ELECTRONICALLY BY LAW ENFORCEMENT OFFICERS OF THAT JURISDICTION, AND TO PROVIDE FOR THE DISTRIBUTION OF THE ELECTRONIC CITATION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14C" w:rsidRDefault="00BB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14C" w:rsidRDefault="00BB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Chapter 7, Title 56 of the 1976 Code is amended by adding:</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B5D13">
        <w:noBreakHyphen/>
      </w:r>
      <w:r>
        <w:t>7</w:t>
      </w:r>
      <w:r w:rsidR="00EB5D13">
        <w:noBreakHyphen/>
      </w:r>
      <w:r>
        <w:t>25.</w:t>
      </w:r>
      <w:r>
        <w:tab/>
        <w:t>(A)</w:t>
      </w:r>
      <w:r>
        <w:tab/>
        <w:t>The governing body of a county or municipality by ordinance may authorize a court clerk of a court of that jurisdiction, including the magistrates court, to assess and collect an electronic citation fee for each traffic, parking, or incident citation issued and collected electronically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results in a verdict of guilty, a plea of guilty, or a plea of nolo contendere.</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funds derived from an electronic citation fee that has been authorized by a county or municipality pursuant to subsection (A) only may be used for the following purposes:</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acquisition of an electronic citation system and related program expenditures; and</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ongoing maintenance, repairs, and replacement of an electronic citation system.</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revenue collected by an electronic citation fee authorized by a county or municipality pursuant to subsection (A) must be deposited in a special revenue fund of the law enforcement agency which issued the citation.  The county or municipal court clerk which initially collects these funds pursuant to subsection (A) is responsible for depositing all of the funds into the special revenue fund of the law enforcement agency which issued the citation.  These deposits must be made on a quarterly calendar</w:t>
      </w:r>
      <w:r w:rsidR="00EB5D13">
        <w:noBreakHyphen/>
      </w:r>
      <w:r>
        <w:t>year basis.</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State Treasurer may request the State Auditor to examine the financial records of any county or municipal court clerk which the </w:t>
      </w:r>
      <w:r w:rsidR="005E31DF">
        <w:t xml:space="preserve">State </w:t>
      </w:r>
      <w:r>
        <w:t xml:space="preserve">Treasurer believes is not depositing the funds generated by an electronic citation fee in a manner consistent with the requirements set forth in subsection (C).  The State Treasurer also is authorized to conduct the examination and, in either instance, the local jurisdiction is required to participate in and cooperate fully with the examination.  Should the </w:t>
      </w:r>
      <w:r w:rsidR="005E31DF">
        <w:t xml:space="preserve">State </w:t>
      </w:r>
      <w:r>
        <w:t xml:space="preserve">Treasurer find that the relevant county or municipal court clerk is not depositing the designated funds in a manner consistent with subsection (C), the </w:t>
      </w:r>
      <w:r w:rsidR="005E31DF">
        <w:t xml:space="preserve">State </w:t>
      </w:r>
      <w:r>
        <w:t xml:space="preserve">Treasurer has the authority to require that the funds immediately be transmitted by the county or municipal court clerk to the </w:t>
      </w:r>
      <w:r w:rsidR="005E31DF">
        <w:t xml:space="preserve">State </w:t>
      </w:r>
      <w:r>
        <w:t>Treasurer for distribution to the designated special revenue fund of the issuing law enforcement agency as set forth in subsection (C).”</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4C"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5E45" w:rsidRDefault="00EB5D13" w:rsidP="000C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4F15" w:rsidRDefault="00024F15" w:rsidP="00024F15">
      <w:pPr>
        <w:suppressAutoHyphens/>
      </w:pPr>
    </w:p>
    <w:sectPr w:rsidR="00024F15" w:rsidSect="00024F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14C" w:rsidRDefault="00BB114C" w:rsidP="009F0C77">
      <w:r>
        <w:separator/>
      </w:r>
    </w:p>
  </w:endnote>
  <w:endnote w:type="continuationSeparator" w:id="0">
    <w:p w:rsidR="00BB114C" w:rsidRDefault="00BB11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0AEA48-C99D-4797-9DD9-F9ABB82F30D0}"/>
    <w:embedBold r:id="rId2" w:fontKey="{0C39E4A4-9E28-443E-9EE5-507BCAD2FE05}"/>
  </w:font>
  <w:font w:name="Calibri">
    <w:panose1 w:val="020F0502020204030204"/>
    <w:charset w:val="00"/>
    <w:family w:val="swiss"/>
    <w:pitch w:val="variable"/>
    <w:sig w:usb0="E00002FF" w:usb1="4000ACFF" w:usb2="00000001" w:usb3="00000000" w:csb0="0000019F" w:csb1="00000000"/>
    <w:embedRegular r:id="rId3" w:fontKey="{D0F4043D-B08D-422F-99F1-B06A9AC979F8}"/>
  </w:font>
  <w:font w:name="Segoe UI">
    <w:panose1 w:val="020B0502040204020203"/>
    <w:charset w:val="00"/>
    <w:family w:val="swiss"/>
    <w:pitch w:val="variable"/>
    <w:sig w:usb0="E10022FF" w:usb1="C000E47F" w:usb2="00000029" w:usb3="00000000" w:csb0="000001DF" w:csb1="00000000"/>
    <w:embedRegular r:id="rId4" w:fontKey="{78558579-5969-460B-ADDD-3118CB0F10D2}"/>
  </w:font>
  <w:font w:name="Cambria">
    <w:panose1 w:val="02040503050406030204"/>
    <w:charset w:val="00"/>
    <w:family w:val="roman"/>
    <w:pitch w:val="variable"/>
    <w:sig w:usb0="E00002FF" w:usb1="400004FF" w:usb2="00000000" w:usb3="00000000" w:csb0="0000019F" w:csb1="00000000"/>
    <w:embedRegular r:id="rId5" w:fontKey="{78EB410F-C635-4908-B227-C05F0D389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E45" w:rsidRPr="00024F15" w:rsidRDefault="00024F15" w:rsidP="00024F15">
    <w:pPr>
      <w:pStyle w:val="Footer"/>
      <w:tabs>
        <w:tab w:val="clear" w:pos="4680"/>
        <w:tab w:val="clear" w:pos="9360"/>
        <w:tab w:val="center" w:pos="2995"/>
      </w:tabs>
      <w:spacing w:before="120"/>
    </w:pPr>
    <w:r>
      <w:t>[4125]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14C" w:rsidRDefault="00BB114C" w:rsidP="009F0C77">
      <w:r>
        <w:separator/>
      </w:r>
    </w:p>
  </w:footnote>
  <w:footnote w:type="continuationSeparator" w:id="0">
    <w:p w:rsidR="00BB114C" w:rsidRDefault="00BB11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9CM19"/>
    <w:docVar w:name="CoverBillType" w:val="b"/>
    <w:docVar w:name="DocPath" w:val="L:\Council\bills\GT\5669CM19.DOCX"/>
    <w:docVar w:name="dvBillNumber" w:val="4125"/>
    <w:docVar w:name="dvBillNumberPrefix" w:val="H. "/>
    <w:docVar w:name="dvOriginalBody" w:val="House"/>
    <w:docVar w:name="dvSteno" w:val="GT"/>
    <w:docVar w:name="NameofBody" w:val="h"/>
    <w:docVar w:name="vGroup2" w:val="Council"/>
  </w:docVars>
  <w:rsids>
    <w:rsidRoot w:val="00BB114C"/>
    <w:rsid w:val="00011869"/>
    <w:rsid w:val="00015CD6"/>
    <w:rsid w:val="00024F15"/>
    <w:rsid w:val="000C4B3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DB7"/>
    <w:rsid w:val="002A179E"/>
    <w:rsid w:val="002E5912"/>
    <w:rsid w:val="00301B21"/>
    <w:rsid w:val="00325348"/>
    <w:rsid w:val="0032732C"/>
    <w:rsid w:val="00336AD0"/>
    <w:rsid w:val="0037079A"/>
    <w:rsid w:val="003B5E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1DF"/>
    <w:rsid w:val="00605102"/>
    <w:rsid w:val="006215AA"/>
    <w:rsid w:val="006913C9"/>
    <w:rsid w:val="0069470D"/>
    <w:rsid w:val="006D58AA"/>
    <w:rsid w:val="00725E49"/>
    <w:rsid w:val="00734F00"/>
    <w:rsid w:val="007A70AE"/>
    <w:rsid w:val="0080574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14C"/>
    <w:rsid w:val="00BE3C22"/>
    <w:rsid w:val="00C0345E"/>
    <w:rsid w:val="00C31C95"/>
    <w:rsid w:val="00C3483A"/>
    <w:rsid w:val="00C74E9D"/>
    <w:rsid w:val="00C826DD"/>
    <w:rsid w:val="00C82FD3"/>
    <w:rsid w:val="00C92819"/>
    <w:rsid w:val="00CC6B7B"/>
    <w:rsid w:val="00CD2089"/>
    <w:rsid w:val="00CF6327"/>
    <w:rsid w:val="00D73A67"/>
    <w:rsid w:val="00D970A9"/>
    <w:rsid w:val="00DF3845"/>
    <w:rsid w:val="00E41911"/>
    <w:rsid w:val="00E44B57"/>
    <w:rsid w:val="00E92EEF"/>
    <w:rsid w:val="00EB5D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98DDC-8022-4334-8150-2141DCE3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D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D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4F243-2BAC-4DD8-BF35-066F0BD51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512</Words>
  <Characters>2625</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4125 Text of Previous Version (Feb. 27, 2019) - South Carolina Legislature Online</dc:title>
  <dc:creator>Gwen Thurmond</dc:creator>
  <cp:lastModifiedBy>S Volk</cp:lastModifiedBy>
  <cp:revision>2</cp:revision>
  <cp:lastPrinted>2019-02-21T13:54:00Z</cp:lastPrinted>
  <dcterms:created xsi:type="dcterms:W3CDTF">2019-02-27T18:31:00Z</dcterms:created>
  <dcterms:modified xsi:type="dcterms:W3CDTF">2019-02-27T18:31:00Z</dcterms:modified>
</cp:coreProperties>
</file>