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 xml:space="preserve">February </w:t>
      </w:r>
      <w:r w:rsidR="00EA58D6">
        <w:rPr>
          <w:rFonts w:eastAsia="Times New Roman" w:cs="Times New Roman"/>
          <w:szCs w:val="20"/>
        </w:rPr>
        <w:t>27</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EA58D6" w:rsidP="00B20119">
      <w:pPr>
        <w:tabs>
          <w:tab w:val="right" w:pos="5933"/>
        </w:tabs>
        <w:suppressAutoHyphens/>
        <w:jc w:val="both"/>
        <w:rPr>
          <w:rFonts w:eastAsia="Times New Roman" w:cs="Times New Roman"/>
          <w:szCs w:val="20"/>
        </w:rPr>
      </w:pPr>
      <w:r>
        <w:rPr>
          <w:rFonts w:eastAsia="Times New Roman" w:cs="Times New Roman"/>
          <w:szCs w:val="20"/>
        </w:rPr>
        <w:t>S. Printed 2/27</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E03F3B">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E03F3B">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w:t>
      </w:r>
      <w:r w:rsidR="001D2463" w:rsidRPr="00E03F3B">
        <w:rPr>
          <w:rFonts w:cs="Times New Roman"/>
          <w:u w:color="000000" w:themeColor="text1"/>
        </w:rPr>
        <w:lastRenderedPageBreak/>
        <w:t xml:space="preserve">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E03F3B">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E03F3B">
        <w:rPr>
          <w:rFonts w:eastAsia="Times New Roman" w:cs="Times New Roman"/>
          <w:szCs w:val="20"/>
        </w:rPr>
        <w:lastRenderedPageBreak/>
        <w:t>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 xml:space="preserve">As a component of a Kindergarten Readiness Program Report, the Education Oversight Committee shall annually provide the following information, relying on data </w:t>
      </w:r>
      <w:r w:rsidRPr="00E03F3B">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w:t>
      </w:r>
      <w:r w:rsidRPr="00E03F3B">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lastRenderedPageBreak/>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 xml:space="preserve">510(7), and, if indicated, diagnostic assessments and teacher observations, at no </w:t>
      </w:r>
      <w:r w:rsidRPr="00E03F3B">
        <w:rPr>
          <w:u w:val="single" w:color="000000"/>
        </w:rPr>
        <w:lastRenderedPageBreak/>
        <w:t>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 xml:space="preserve">the academic outcome of students pursuant to subsubitems (i) and (ii), including, but not limited to, state </w:t>
      </w:r>
      <w:r w:rsidRPr="00E03F3B">
        <w:rPr>
          <w:u w:val="single" w:color="000000"/>
        </w:rPr>
        <w:lastRenderedPageBreak/>
        <w:t>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 xml:space="preserve">90, except where a child is </w:t>
      </w:r>
      <w:r w:rsidRPr="00E03F3B">
        <w:rPr>
          <w:rFonts w:eastAsia="Times New Roman" w:cs="Times New Roman"/>
          <w:szCs w:val="20"/>
        </w:rPr>
        <w:lastRenderedPageBreak/>
        <w:t>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 xml:space="preserve">based practicum and ensures that candidates grasp the theory, research, and practices that support and guide the teaching of reading. The six components of the reading process that are comprehension, oral language, </w:t>
      </w:r>
      <w:r w:rsidRPr="00E03F3B">
        <w:rPr>
          <w:rFonts w:eastAsia="Times New Roman" w:cs="Times New Roman"/>
          <w:szCs w:val="20"/>
        </w:rPr>
        <w:lastRenderedPageBreak/>
        <w:t>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 xml:space="preserve">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w:t>
      </w:r>
      <w:r w:rsidRPr="00E03F3B">
        <w:rPr>
          <w:rFonts w:eastAsia="Times New Roman" w:cs="Times New Roman"/>
          <w:szCs w:val="20"/>
          <w:u w:val="single" w:color="000000"/>
        </w:rPr>
        <w:lastRenderedPageBreak/>
        <w:t>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 xml:space="preserve">on endorsement within ten years of their most recent certification by taking at least two courses or six credit hours every five years, or the equivalent </w:t>
      </w:r>
      <w:r w:rsidRPr="00E03F3B">
        <w:rPr>
          <w:rFonts w:eastAsia="Times New Roman" w:cs="Times New Roman"/>
          <w:strike/>
          <w:szCs w:val="20"/>
        </w:rPr>
        <w:lastRenderedPageBreak/>
        <w:t>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 xml:space="preserve">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w:t>
      </w:r>
      <w:r w:rsidRPr="00E03F3B">
        <w:rPr>
          <w:rFonts w:eastAsia="Times New Roman" w:cs="Times New Roman"/>
          <w:strike/>
          <w:szCs w:val="20"/>
        </w:rPr>
        <w:lastRenderedPageBreak/>
        <w:t>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 xml:space="preserve">The Read to Succeed Office shall publish by August 1, 2014, the guidelines and procedures used in evaluating all courses and professional development, including virtual courses and </w:t>
      </w:r>
      <w:r w:rsidRPr="00E03F3B">
        <w:rPr>
          <w:rFonts w:eastAsia="Times New Roman" w:cs="Times New Roman"/>
          <w:strike/>
          <w:szCs w:val="20"/>
        </w:rPr>
        <w:lastRenderedPageBreak/>
        <w:t>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based. The department shall provide this information to the Learning Disorders Task Force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 xml:space="preserve">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w:t>
      </w:r>
      <w:r w:rsidRPr="00E03F3B">
        <w:rPr>
          <w:rFonts w:eastAsia="Times New Roman" w:cs="Times New Roman"/>
          <w:szCs w:val="20"/>
        </w:rPr>
        <w:lastRenderedPageBreak/>
        <w:t>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South Carolina public institution defined in Section 59</w:t>
      </w:r>
      <w:r w:rsidRPr="00E03F3B">
        <w:rPr>
          <w:rFonts w:eastAsia="Times New Roman" w:cs="Times New Roman"/>
          <w:szCs w:val="20"/>
        </w:rPr>
        <w:noBreakHyphen/>
        <w:t>103</w:t>
      </w:r>
      <w:r w:rsidRPr="00E03F3B">
        <w:rPr>
          <w:rFonts w:eastAsia="Times New Roman" w:cs="Times New Roman"/>
          <w:szCs w:val="20"/>
        </w:rPr>
        <w:noBreakHyphen/>
        <w:t>5</w:t>
      </w:r>
      <w:r w:rsidRPr="00E03F3B">
        <w:rPr>
          <w:rFonts w:eastAsia="Times New Roman" w:cs="Times New Roman"/>
          <w:strike/>
          <w:szCs w:val="20"/>
        </w:rPr>
        <w:t>, excluding a public two</w:t>
      </w:r>
      <w:r w:rsidRPr="00E03F3B">
        <w:rPr>
          <w:rFonts w:eastAsia="Times New Roman" w:cs="Times New Roman"/>
          <w:strike/>
          <w:szCs w:val="20"/>
        </w:rPr>
        <w:noBreakHyphen/>
        <w:t>year or technical institution,</w:t>
      </w:r>
      <w:r w:rsidRPr="00E03F3B">
        <w:rPr>
          <w:rFonts w:eastAsia="Times New Roman" w:cs="Times New Roman"/>
          <w:szCs w:val="20"/>
        </w:rPr>
        <w:t xml:space="preserve"> and an independent institution as defined in Section 59</w:t>
      </w:r>
      <w:r w:rsidRPr="00E03F3B">
        <w:rPr>
          <w:rFonts w:eastAsia="Times New Roman" w:cs="Times New Roman"/>
          <w:szCs w:val="20"/>
        </w:rPr>
        <w:noBreakHyphen/>
        <w:t>113</w:t>
      </w:r>
      <w:r w:rsidRPr="00E03F3B">
        <w:rPr>
          <w:rFonts w:eastAsia="Times New Roman" w:cs="Times New Roman"/>
          <w:szCs w:val="20"/>
        </w:rPr>
        <w:noBreakHyphen/>
        <w:t>50</w:t>
      </w:r>
      <w:r w:rsidRPr="00E03F3B">
        <w:rPr>
          <w:rFonts w:eastAsia="Times New Roman" w:cs="Times New Roman"/>
          <w:strike/>
          <w:szCs w:val="20"/>
        </w:rPr>
        <w:t>, excluding an eleemosynary junior or independent two</w:t>
      </w:r>
      <w:r w:rsidRPr="00E03F3B">
        <w:rPr>
          <w:rFonts w:eastAsia="Times New Roman" w:cs="Times New Roman"/>
          <w:strike/>
          <w:szCs w:val="20"/>
        </w:rPr>
        <w:noBreakHyphen/>
        <w:t>year institution</w:t>
      </w:r>
      <w:r w:rsidRPr="00E03F3B">
        <w:rPr>
          <w:rFonts w:eastAsia="Times New Roman" w:cs="Times New Roman"/>
          <w:szCs w:val="20"/>
        </w:rPr>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public or independent 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3.5</w:t>
      </w:r>
      <w:r w:rsidRPr="00E03F3B">
        <w:rPr>
          <w:rFonts w:eastAsia="Times New Roman" w:cs="Times New Roman"/>
          <w:szCs w:val="20"/>
        </w:rPr>
        <w:t xml:space="preserve"> </w:t>
      </w:r>
      <w:r w:rsidRPr="00E03F3B">
        <w:rPr>
          <w:rFonts w:eastAsia="Times New Roman" w:cs="Times New Roman"/>
          <w:szCs w:val="20"/>
          <w:u w:val="single"/>
        </w:rPr>
        <w:t>4.0</w:t>
      </w:r>
      <w:r w:rsidRPr="00E03F3B">
        <w:rPr>
          <w:rFonts w:eastAsia="Times New Roman" w:cs="Times New Roman"/>
          <w:szCs w:val="20"/>
        </w:rPr>
        <w:t xml:space="preserve"> grade point ratio on the Uniform Grading Scale at the end of the junior or senior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(iii)</w:t>
      </w:r>
      <w:r w:rsidRPr="00E03F3B">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meet the following two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1400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 xml:space="preserve">a score of thirty-one on the </w:t>
      </w:r>
      <w:r w:rsidRPr="00E03F3B">
        <w:rPr>
          <w:rFonts w:eastAsia="Times New Roman" w:cs="Times New Roman"/>
          <w:szCs w:val="20"/>
        </w:rPr>
        <w:t xml:space="preserve">ACT </w:t>
      </w:r>
      <w:r w:rsidRPr="00E03F3B">
        <w:rPr>
          <w:rFonts w:eastAsia="Times New Roman" w:cs="Times New Roman"/>
          <w:strike/>
          <w:szCs w:val="20"/>
        </w:rPr>
        <w:t>score</w:t>
      </w:r>
      <w:r w:rsidRPr="00E03F3B">
        <w:rPr>
          <w:rFonts w:eastAsia="Times New Roman" w:cs="Times New Roman"/>
          <w:szCs w:val="20"/>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4.0</w:t>
      </w:r>
      <w:r w:rsidRPr="00E03F3B">
        <w:rPr>
          <w:rFonts w:eastAsia="Times New Roman" w:cs="Times New Roman"/>
          <w:szCs w:val="20"/>
        </w:rPr>
        <w:t xml:space="preserve"> </w:t>
      </w:r>
      <w:r w:rsidRPr="00E03F3B">
        <w:rPr>
          <w:rFonts w:eastAsia="Times New Roman" w:cs="Times New Roman"/>
          <w:szCs w:val="20"/>
          <w:u w:val="single"/>
        </w:rPr>
        <w:t>4.3</w:t>
      </w:r>
      <w:r w:rsidRPr="00E03F3B">
        <w:rPr>
          <w:rFonts w:eastAsia="Times New Roman" w:cs="Times New Roman"/>
          <w:szCs w:val="20"/>
        </w:rPr>
        <w:t xml:space="preserve"> grade point ratio on the Uniform Grading Scale at the end of the junior or senior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 xml:space="preserve">approved standardized grading scale substantially deviates from the South </w:t>
      </w:r>
      <w:r w:rsidRPr="00E03F3B">
        <w:rPr>
          <w:rFonts w:eastAsia="Times New Roman" w:cs="Times New Roman"/>
          <w:szCs w:val="20"/>
        </w:rPr>
        <w:lastRenderedPageBreak/>
        <w:t>Carolina Uniform Grading Scale, the state</w:t>
      </w:r>
      <w:r w:rsidRPr="00E03F3B">
        <w:rPr>
          <w:rFonts w:eastAsia="Times New Roman" w:cs="Times New Roman"/>
          <w:szCs w:val="20"/>
        </w:rPr>
        <w:noBreakHyphen/>
        <w:t xml:space="preserve">approved standardized grading scale shall not be used to meet the eligibility requirements for the Palmetto Fellows Scholarship. </w:t>
      </w:r>
      <w:r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(H)</w:t>
      </w:r>
      <w:r w:rsidRPr="00E03F3B">
        <w:rPr>
          <w:rFonts w:eastAsia="Times New Roman" w:cs="Times New Roman"/>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E03F3B">
        <w:rPr>
          <w:rFonts w:eastAsia="Times New Roman" w:cs="Times New Roman"/>
          <w:szCs w:val="20"/>
        </w:rPr>
        <w:noBreakHyphen/>
        <w:t>of</w:t>
      </w:r>
      <w:r w:rsidRPr="00E03F3B">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E03F3B">
        <w:rPr>
          <w:rFonts w:eastAsia="Times New Roman" w:cs="Times New Roman"/>
          <w:szCs w:val="20"/>
          <w:u w:val="single" w:color="000000"/>
        </w:rPr>
        <w:t>A student who uses a Palmetto Fellows Scholarship to attend an eligible two</w:t>
      </w:r>
      <w:r w:rsidRPr="00E03F3B">
        <w:rPr>
          <w:rFonts w:eastAsia="Times New Roman" w:cs="Times New Roman"/>
          <w:szCs w:val="20"/>
          <w:u w:val="single" w:color="000000"/>
        </w:rPr>
        <w:noBreakHyphen/>
        <w:t>year institution shall receive a maximum of four continuous semesters and may continue to use the scholarship to attend an eligible four</w:t>
      </w:r>
      <w:r w:rsidRPr="00E03F3B">
        <w:rPr>
          <w:rFonts w:eastAsia="Times New Roman" w:cs="Times New Roman"/>
          <w:szCs w:val="20"/>
          <w:u w:val="single" w:color="000000"/>
        </w:rPr>
        <w:noBreakHyphen/>
        <w:t>year institution, subject to the maximum number of semesters for which the student may be eligible for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 xml:space="preserve">For the purposes of Palmetto Fellows Scholarship eligibility, a cumulative grade point average calculation must be </w:t>
      </w:r>
      <w:r w:rsidRPr="00E03F3B">
        <w:rPr>
          <w:rFonts w:eastAsia="Times New Roman" w:cs="Times New Roman"/>
          <w:szCs w:val="20"/>
          <w:u w:val="single" w:color="000000"/>
        </w:rPr>
        <w:lastRenderedPageBreak/>
        <w:t>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3.3</w:t>
      </w:r>
      <w:r w:rsidRPr="00E03F3B">
        <w:rPr>
          <w:rFonts w:eastAsia="Times New Roman" w:cs="Times New Roman"/>
          <w:szCs w:val="20"/>
        </w:rPr>
        <w:t xml:space="preserve"> cumulative grade average on a 4.0 scale and have scored 1100 or better on 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w:t>
      </w:r>
      <w:r w:rsidRPr="00E03F3B">
        <w:rPr>
          <w:rFonts w:eastAsia="Times New Roman" w:cs="Times New Roman"/>
          <w:szCs w:val="20"/>
        </w:rPr>
        <w:lastRenderedPageBreak/>
        <w:t>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w:t>
      </w:r>
      <w:r w:rsidRPr="00E03F3B">
        <w:rPr>
          <w:rFonts w:eastAsia="Times New Roman" w:cs="Times New Roman"/>
          <w:szCs w:val="20"/>
        </w:rPr>
        <w:lastRenderedPageBreak/>
        <w:t xml:space="preserve">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(C)</w:t>
      </w:r>
      <w:r w:rsidRPr="00E03F3B">
        <w:rPr>
          <w:rFonts w:eastAsia="Times New Roman" w:cs="Times New Roman"/>
          <w:szCs w:val="20"/>
        </w:rPr>
        <w:tab/>
        <w:t xml:space="preserve">A student </w:t>
      </w:r>
      <w:r w:rsidRPr="00E03F3B">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E03F3B">
        <w:rPr>
          <w:rFonts w:eastAsia="Times New Roman" w:cs="Times New Roman"/>
          <w:szCs w:val="20"/>
        </w:rPr>
        <w:t xml:space="preserve"> </w:t>
      </w:r>
      <w:r w:rsidRPr="00E03F3B">
        <w:rPr>
          <w:rFonts w:eastAsia="Times New Roman" w:cs="Times New Roman"/>
          <w:szCs w:val="20"/>
          <w:u w:val="single"/>
        </w:rPr>
        <w:t>must have graduated from high school with a minimum of a 3.3 cumulative grade point average on a 4.0 scale to be eligible to receive an SC HOPE Scholarship</w:t>
      </w:r>
      <w:r w:rsidRPr="00E03F3B">
        <w:rPr>
          <w:rFonts w:eastAsia="Times New Roman" w:cs="Times New Roman"/>
          <w:szCs w:val="20"/>
        </w:rPr>
        <w:t xml:space="preserve">. </w:t>
      </w:r>
      <w:r w:rsidRPr="00E03F3B">
        <w:rPr>
          <w:rFonts w:eastAsia="Times New Roman" w:cs="Times New Roman"/>
          <w:szCs w:val="20"/>
          <w:u w:val="single"/>
        </w:rPr>
        <w:t>A</w:t>
      </w:r>
      <w:r w:rsidRPr="00E03F3B">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 xml:space="preserve">year institutions. In </w:t>
      </w:r>
      <w:r w:rsidRPr="00E03F3B">
        <w:rPr>
          <w:rFonts w:eastAsia="Times New Roman" w:cs="Times New Roman"/>
          <w:szCs w:val="20"/>
        </w:rPr>
        <w:lastRenderedPageBreak/>
        <w:t>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 xml:space="preserve">aged adults with a postsecondary degree or industry credential by encouraging closer partnerships between the </w:t>
      </w:r>
      <w:r w:rsidRPr="00E03F3B">
        <w:rPr>
          <w:rFonts w:eastAsia="Times New Roman" w:cs="Times New Roman"/>
          <w:szCs w:val="20"/>
        </w:rPr>
        <w:lastRenderedPageBreak/>
        <w:t>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w:t>
      </w:r>
      <w:r w:rsidRPr="00E03F3B">
        <w:rPr>
          <w:rFonts w:eastAsia="Times New Roman" w:cs="Times New Roman"/>
          <w:szCs w:val="20"/>
        </w:rPr>
        <w:lastRenderedPageBreak/>
        <w:t xml:space="preserve">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t>
      </w:r>
      <w:r w:rsidRPr="00E03F3B">
        <w:rPr>
          <w:rFonts w:eastAsia="Times New Roman" w:cs="Times New Roman"/>
          <w:szCs w:val="20"/>
        </w:rPr>
        <w:lastRenderedPageBreak/>
        <w:t>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26</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lastRenderedPageBreak/>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 xml:space="preserve">by providing access to the South Carolina Occupational Information </w:t>
      </w:r>
      <w:r w:rsidRPr="00E03F3B">
        <w:rPr>
          <w:rFonts w:eastAsia="Times New Roman" w:cs="Times New Roman"/>
          <w:strike/>
          <w:szCs w:val="20"/>
        </w:rPr>
        <w:lastRenderedPageBreak/>
        <w:t>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59-53-30.</w:t>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Institutions of the South Carolina Technical Education System shall </w:t>
      </w:r>
      <w:r w:rsidRPr="00E03F3B">
        <w:rPr>
          <w:rFonts w:eastAsia="Times New Roman" w:cs="Times New Roman"/>
          <w:strike/>
          <w:szCs w:val="20"/>
        </w:rPr>
        <w:t>maintain open admissions policies unless determined to be economically unfeasible by the State Fiscal Accountability Authority and</w:t>
      </w:r>
      <w:r w:rsidRPr="00E03F3B">
        <w:rPr>
          <w:rFonts w:eastAsia="Times New Roman" w:cs="Times New Roman"/>
          <w:szCs w:val="20"/>
        </w:rPr>
        <w:t xml:space="preserve"> establish and maintain low tuition and fees in order to provide access to post</w:t>
      </w:r>
      <w:r w:rsidRPr="00E03F3B">
        <w:rPr>
          <w:rFonts w:eastAsia="Times New Roman" w:cs="Times New Roman"/>
          <w:szCs w:val="20"/>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lastRenderedPageBreak/>
        <w:t>SECTION</w:t>
      </w:r>
      <w:r w:rsidRPr="00E03F3B">
        <w:rPr>
          <w:rFonts w:eastAsia="Times New Roman" w:cs="Times New Roman"/>
          <w:szCs w:val="20"/>
          <w:u w:color="000000"/>
        </w:rPr>
        <w:tab/>
        <w:t>31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33</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 xml:space="preserve">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w:t>
      </w:r>
      <w:r w:rsidRPr="00E03F3B">
        <w:rPr>
          <w:rFonts w:eastAsia="Times New Roman" w:cs="Times New Roman"/>
          <w:strike/>
          <w:szCs w:val="20"/>
        </w:rPr>
        <w:lastRenderedPageBreak/>
        <w:t>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36</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 xml:space="preserve">For the purposes of this section, ‘alternative route provider’ means an entity responsible for </w:t>
      </w:r>
      <w:r w:rsidRPr="00E03F3B">
        <w:rPr>
          <w:rFonts w:eastAsia="Times New Roman" w:cs="Times New Roman"/>
          <w:szCs w:val="20"/>
          <w:u w:color="000000"/>
        </w:rPr>
        <w:lastRenderedPageBreak/>
        <w:t>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0C252E" w:rsidRPr="00E03F3B">
        <w:rPr>
          <w:rFonts w:eastAsia="Times New Roman" w:cs="Times New Roman"/>
          <w:szCs w:val="20"/>
          <w:u w:color="000000"/>
        </w:rPr>
        <w:t>N</w:t>
      </w:r>
      <w:r w:rsidR="000C252E" w:rsidRPr="00E03F3B">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lastRenderedPageBreak/>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38</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39</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E03F3B" w:rsidRPr="00E03F3B">
        <w:rPr>
          <w:rFonts w:cs="Times New Roman"/>
          <w:u w:color="000000" w:themeColor="text1"/>
        </w:rPr>
        <w:t>CTION</w:t>
      </w:r>
      <w:r w:rsidR="00E03F3B" w:rsidRPr="00E03F3B">
        <w:rPr>
          <w:rFonts w:cs="Times New Roman"/>
          <w:u w:color="000000" w:themeColor="text1"/>
        </w:rPr>
        <w:tab/>
        <w:t>41</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adopt, and revise as necessary, a policy that each local school board must use to develop and implement a plan that directs</w:t>
      </w:r>
      <w:r w:rsidRPr="00E03F3B">
        <w:rPr>
          <w:rFonts w:cs="Times New Roman"/>
          <w:u w:color="000000" w:themeColor="text1"/>
        </w:rPr>
        <w:t xml:space="preserve"> the principal of each elementary school having </w:t>
      </w:r>
      <w:r w:rsidRPr="00E03F3B">
        <w:rPr>
          <w:rFonts w:cs="Times New Roman"/>
          <w:strike/>
          <w:u w:color="000000" w:themeColor="text1"/>
        </w:rPr>
        <w:t>grades one</w:t>
      </w:r>
      <w:r w:rsidRPr="00E03F3B">
        <w:rPr>
          <w:rFonts w:cs="Times New Roman"/>
          <w:u w:color="000000" w:themeColor="text1"/>
        </w:rPr>
        <w:t xml:space="preserve"> </w:t>
      </w:r>
      <w:r w:rsidRPr="00E03F3B">
        <w:rPr>
          <w:rFonts w:cs="Times New Roman"/>
          <w:u w:val="single" w:color="000000" w:themeColor="text1"/>
        </w:rPr>
        <w:t>kindergarten</w:t>
      </w:r>
      <w:r w:rsidRPr="00E03F3B">
        <w:rPr>
          <w:rFonts w:cs="Times New Roman"/>
          <w:u w:color="000000" w:themeColor="text1"/>
        </w:rPr>
        <w:t xml:space="preserve"> through </w:t>
      </w:r>
      <w:r w:rsidRPr="00E03F3B">
        <w:rPr>
          <w:rFonts w:cs="Times New Roman"/>
          <w:strike/>
          <w:u w:color="000000" w:themeColor="text1"/>
        </w:rPr>
        <w:t>six</w:t>
      </w:r>
      <w:r w:rsidRPr="00E03F3B">
        <w:rPr>
          <w:rFonts w:cs="Times New Roman"/>
          <w:u w:val="single" w:color="000000" w:themeColor="text1"/>
        </w:rPr>
        <w:t xml:space="preserve"> fifth grade to provide all full</w:t>
      </w:r>
      <w:r w:rsidRPr="00E03F3B">
        <w:rPr>
          <w:rFonts w:cs="Times New Roman"/>
          <w:u w:val="single" w:color="000000" w:themeColor="text1"/>
        </w:rPr>
        <w:noBreakHyphen/>
        <w:t>time teachers who are assigned to a classroom with at least thirty minutes of unencumbered time on each regular school day</w:t>
      </w:r>
      <w:r w:rsidRPr="00E03F3B">
        <w:rPr>
          <w:rFonts w:cs="Times New Roman"/>
          <w:u w:color="000000" w:themeColor="text1"/>
        </w:rPr>
        <w:t xml:space="preserve"> </w:t>
      </w:r>
      <w:r w:rsidRPr="00E03F3B">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E03F3B">
        <w:rPr>
          <w:rFonts w:cs="Times New Roman"/>
          <w:u w:color="000000" w:themeColor="text1"/>
        </w:rPr>
        <w:t xml:space="preserve">. </w:t>
      </w:r>
      <w:r w:rsidRPr="00E03F3B">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 xml:space="preserve">provide that unencumbered time may not be withheld or reduced, unless it is reasonable and necessary due to extreme and </w:t>
      </w:r>
      <w:r w:rsidRPr="00E03F3B">
        <w:rPr>
          <w:rFonts w:cs="Times New Roman"/>
          <w:u w:val="single" w:color="000000" w:themeColor="text1"/>
        </w:rPr>
        <w:lastRenderedPageBreak/>
        <w:t>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42</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may take appropriate disciplinary measures, including the removal of persistently disruptive students, pursuant to school and district policies as referenced in item (1), to facilitate a learning </w:t>
      </w:r>
      <w:r w:rsidRPr="00E03F3B">
        <w:rPr>
          <w:rFonts w:eastAsia="Times New Roman" w:cs="Times New Roman"/>
          <w:szCs w:val="20"/>
        </w:rPr>
        <w:lastRenderedPageBreak/>
        <w:t>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43</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 xml:space="preserve">Any person hired to serve for the first time as a principal or assistant principal must participate and successfully </w:t>
      </w:r>
      <w:r w:rsidRPr="00E03F3B">
        <w:rPr>
          <w:u w:val="single"/>
        </w:rPr>
        <w:lastRenderedPageBreak/>
        <w:t>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E03F3B">
        <w:rPr>
          <w:snapToGrid w:val="0"/>
        </w:rPr>
        <w:t>SECTION</w:t>
      </w:r>
      <w:r w:rsidRPr="00E03F3B">
        <w:rPr>
          <w:snapToGrid w:val="0"/>
        </w:rPr>
        <w:tab/>
        <w:t>44</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45</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 xml:space="preserve">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w:t>
      </w:r>
      <w:r w:rsidRPr="00E03F3B">
        <w:lastRenderedPageBreak/>
        <w:t>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46</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47</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lastRenderedPageBreak/>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w:t>
      </w:r>
      <w:r w:rsidRPr="00E03F3B">
        <w:rPr>
          <w:rFonts w:eastAsia="Times New Roman" w:cs="Times New Roman"/>
          <w:szCs w:val="20"/>
        </w:rPr>
        <w:lastRenderedPageBreak/>
        <w:t>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E03F3B" w:rsidRPr="00E03F3B">
        <w:rPr>
          <w:rFonts w:eastAsia="Times New Roman" w:cs="Times New Roman"/>
          <w:szCs w:val="20"/>
          <w:u w:color="000000"/>
        </w:rPr>
        <w:t>ON</w:t>
      </w:r>
      <w:r w:rsidR="00E03F3B" w:rsidRPr="00E03F3B">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 xml:space="preserve">If sufficient funds are not appropriated to support subsection (A), then the Department of Education is directed to submit a report to the General Assembly by January 10, 2020, outlining the districts </w:t>
      </w:r>
      <w:r w:rsidRPr="00E03F3B">
        <w:rPr>
          <w:rFonts w:eastAsia="Times New Roman" w:cs="Times New Roman"/>
          <w:szCs w:val="20"/>
          <w:u w:color="000000"/>
        </w:rPr>
        <w:lastRenderedPageBreak/>
        <w:t>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 xml:space="preserve">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w:t>
      </w:r>
      <w:r w:rsidRPr="00E03F3B">
        <w:rPr>
          <w:rFonts w:eastAsia="Times New Roman" w:cs="Times New Roman"/>
          <w:szCs w:val="20"/>
          <w:u w:color="000000"/>
        </w:rPr>
        <w:lastRenderedPageBreak/>
        <w:t>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SECTION  53</w:t>
      </w:r>
      <w:r w:rsidR="00AD542E" w:rsidRPr="00E03F3B">
        <w:t>.</w:t>
      </w:r>
      <w:r w:rsidR="00AD542E" w:rsidRPr="00E03F3B">
        <w:tab/>
        <w:t>Section 59</w:t>
      </w:r>
      <w:r w:rsidR="00AD542E" w:rsidRPr="00E03F3B">
        <w:noBreakHyphen/>
        <w:t>19</w:t>
      </w:r>
      <w:r w:rsidR="00AD542E" w:rsidRPr="00E03F3B">
        <w:noBreakHyphen/>
        <w:t>350(A)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59-19-350.</w:t>
      </w:r>
      <w:r w:rsidRPr="00E03F3B">
        <w:tab/>
        <w:t>(A)</w:t>
      </w:r>
      <w:r w:rsidRPr="00E03F3B">
        <w:rPr>
          <w:u w:val="single"/>
        </w:rPr>
        <w:t>(1)</w:t>
      </w:r>
      <w:r w:rsidRPr="00E03F3B">
        <w:tab/>
        <w:t xml:space="preserve">A local school district board of trustees of this State desirous of creating an avenue for new, innovative, and more flexible ways of educating children within their district, may create </w:t>
      </w:r>
      <w:r w:rsidRPr="00E03F3B">
        <w:rPr>
          <w:strike/>
        </w:rPr>
        <w:t>a school</w:t>
      </w:r>
      <w:r w:rsidRPr="00E03F3B">
        <w:t xml:space="preserve"> </w:t>
      </w:r>
      <w:r w:rsidRPr="00E03F3B">
        <w:rPr>
          <w:u w:val="single"/>
        </w:rPr>
        <w:t>schools</w:t>
      </w:r>
      <w:r w:rsidRPr="00E03F3B">
        <w:t xml:space="preserve"> of </w:t>
      </w:r>
      <w:r w:rsidRPr="00E03F3B">
        <w:rPr>
          <w:strike/>
        </w:rPr>
        <w:t>choice</w:t>
      </w:r>
      <w:r w:rsidRPr="00E03F3B">
        <w:t xml:space="preserve"> </w:t>
      </w:r>
      <w:r w:rsidRPr="00E03F3B">
        <w:rPr>
          <w:u w:val="single"/>
        </w:rPr>
        <w:t>innovation</w:t>
      </w:r>
      <w:r w:rsidRPr="00E03F3B">
        <w:t xml:space="preserve"> within the district that </w:t>
      </w:r>
      <w:r w:rsidRPr="00E03F3B">
        <w:rPr>
          <w:strike/>
        </w:rPr>
        <w:t>is</w:t>
      </w:r>
      <w:r w:rsidRPr="00E03F3B">
        <w:t xml:space="preserve"> </w:t>
      </w:r>
      <w:r w:rsidRPr="00E03F3B">
        <w:rPr>
          <w:u w:val="single"/>
        </w:rPr>
        <w:t>are</w:t>
      </w:r>
      <w:r w:rsidRPr="00E03F3B">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E03F3B">
        <w:noBreakHyphen/>
        <w:t xml:space="preserve">thirds affirmative vote of the board for each exemption and the proposed exemption is approved by </w:t>
      </w:r>
      <w:r w:rsidRPr="00E03F3B">
        <w:rPr>
          <w:u w:val="single"/>
        </w:rPr>
        <w:t>a two-thirds affirmative vote of</w:t>
      </w:r>
      <w:r w:rsidRPr="00E03F3B">
        <w:t xml:space="preserve"> the State Board of Education.</w:t>
      </w:r>
    </w:p>
    <w:p w:rsidR="00D53A0D"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r>
      <w:r w:rsidRPr="00E03F3B">
        <w:tab/>
      </w:r>
      <w:r w:rsidRPr="00E03F3B">
        <w:rPr>
          <w:u w:val="single"/>
        </w:rPr>
        <w:t>(2)</w:t>
      </w:r>
      <w:r w:rsidRPr="00E03F3B">
        <w:tab/>
      </w:r>
      <w:r w:rsidRPr="00E03F3B">
        <w:rPr>
          <w:u w:val="single"/>
        </w:rPr>
        <w:t>Nothing in this section permits the local school district board of trustees to relinquish control of the schools created pursuant to item (1).</w:t>
      </w:r>
      <w:r w:rsidRPr="00E03F3B">
        <w:t>”</w:t>
      </w:r>
      <w:r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54</w:t>
      </w:r>
      <w:r w:rsidR="00D53A0D" w:rsidRPr="00E03F3B">
        <w:rPr>
          <w:rFonts w:eastAsia="Times New Roman" w:cs="Times New Roman"/>
          <w:szCs w:val="20"/>
        </w:rPr>
        <w:t>.</w:t>
      </w:r>
      <w:r w:rsidR="00D53A0D" w:rsidRPr="00E03F3B">
        <w:rPr>
          <w:rFonts w:eastAsia="Times New Roman" w:cs="Times New Roman"/>
          <w:szCs w:val="20"/>
        </w:rPr>
        <w:tab/>
        <w:t>A.</w:t>
      </w:r>
      <w:r w:rsidR="00D53A0D" w:rsidRPr="00E03F3B">
        <w:rPr>
          <w:rFonts w:eastAsia="Times New Roman" w:cs="Times New Roman"/>
          <w:szCs w:val="20"/>
        </w:rPr>
        <w:tab/>
        <w:t>Section 59-1-425(A)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w:t>
      </w:r>
      <w:r w:rsidRPr="00E03F3B">
        <w:rPr>
          <w:rFonts w:eastAsia="Times New Roman" w:cs="Times New Roman"/>
          <w:szCs w:val="20"/>
        </w:rPr>
        <w:noBreakHyphen/>
        <w:t>425.</w:t>
      </w:r>
      <w:r w:rsidRPr="00E03F3B">
        <w:rPr>
          <w:rFonts w:eastAsia="Times New Roman" w:cs="Times New Roman"/>
          <w:szCs w:val="20"/>
        </w:rPr>
        <w:tab/>
      </w:r>
      <w:r w:rsidR="00AD542E" w:rsidRPr="00E03F3B">
        <w:rPr>
          <w:rFonts w:eastAsia="Times New Roman" w:cs="Times New Roman"/>
          <w:snapToGrid w:val="0"/>
          <w:szCs w:val="20"/>
        </w:rPr>
        <w:t>“</w:t>
      </w:r>
      <w:r w:rsidR="00AD542E" w:rsidRPr="00E03F3B">
        <w:t>(A)</w:t>
      </w:r>
      <w:r w:rsidR="00AD542E" w:rsidRPr="00E03F3B">
        <w:tab/>
        <w:t xml:space="preserve">A local school district board of trustees of the State has the authority to establish an annual school calendar for teachers, staff, and students </w:t>
      </w:r>
      <w:r w:rsidR="00AD542E" w:rsidRPr="00E03F3B">
        <w:rPr>
          <w:u w:val="single"/>
        </w:rPr>
        <w:t>and to establish the opening date for students</w:t>
      </w:r>
      <w:r w:rsidR="00AD542E" w:rsidRPr="00E03F3B">
        <w:t xml:space="preserve">. The statutory school term is one hundred </w:t>
      </w:r>
      <w:r w:rsidR="00AD542E" w:rsidRPr="00E03F3B">
        <w:rPr>
          <w:strike/>
        </w:rPr>
        <w:t>ninety</w:t>
      </w:r>
      <w:r w:rsidR="00AD542E" w:rsidRPr="00E03F3B">
        <w:t xml:space="preserve"> </w:t>
      </w:r>
      <w:r w:rsidR="00AD542E" w:rsidRPr="00E03F3B">
        <w:rPr>
          <w:u w:val="single"/>
        </w:rPr>
        <w:t>ninety-five</w:t>
      </w:r>
      <w:r w:rsidR="00AD542E" w:rsidRPr="00E03F3B">
        <w:t xml:space="preserve"> days annually and must consist of a minimum of one hundred eighty days of instruction covering at least nine calendar months. </w:t>
      </w:r>
      <w:r w:rsidR="00AD542E" w:rsidRPr="00E03F3B">
        <w:rPr>
          <w:strike/>
        </w:rPr>
        <w:t>However, beginning with the 2007</w:t>
      </w:r>
      <w:r w:rsidR="00AD542E" w:rsidRPr="00E03F3B">
        <w:rPr>
          <w:strike/>
        </w:rPr>
        <w:noBreakHyphen/>
        <w:t>2008 school year, the opening date for students must not be before the third Monday in August, except for schools operating on a year</w:t>
      </w:r>
      <w:r w:rsidR="00AD542E" w:rsidRPr="00E03F3B">
        <w:rPr>
          <w:strike/>
        </w:rPr>
        <w:noBreakHyphen/>
        <w:t>round modified school calendar.</w:t>
      </w:r>
      <w:r w:rsidR="00AD542E" w:rsidRPr="00E03F3B">
        <w:t xml:space="preserve"> Three days must be used for collegial professional development based upon the educational standards as required by Section 59</w:t>
      </w:r>
      <w:r w:rsidR="00AD542E" w:rsidRPr="00E03F3B">
        <w:noBreakHyphen/>
        <w:t>18</w:t>
      </w:r>
      <w:r w:rsidR="00AD542E" w:rsidRPr="00E03F3B">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E03F3B">
        <w:rPr>
          <w:strike/>
        </w:rPr>
        <w:t>the remaining</w:t>
      </w:r>
      <w:r w:rsidR="00AD542E" w:rsidRPr="00E03F3B">
        <w:t xml:space="preserve"> five days may </w:t>
      </w:r>
      <w:r w:rsidR="00AD542E" w:rsidRPr="00E03F3B">
        <w:lastRenderedPageBreak/>
        <w:t xml:space="preserve">be used for teacher planning, academic plans, and parent conferences. </w:t>
      </w:r>
      <w:r w:rsidR="00AD542E" w:rsidRPr="00E03F3B">
        <w:rPr>
          <w:u w:val="single"/>
        </w:rPr>
        <w:t>The remaining five days may be used for teacher planning but must not include mandatory professional development, meetings, or parent conferences.</w:t>
      </w:r>
      <w:r w:rsidR="00AD542E" w:rsidRPr="00E03F3B">
        <w:t xml:space="preserve"> The number of instructional hours in an instructional day may vary according to local board policy and does not have to be uniform among the schools in the district.”</w:t>
      </w:r>
      <w:r w:rsidR="00AD542E"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This SECTION is effective contingent upon funding in the annual 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55</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E03F3B"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56</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57</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 xml:space="preserve">Every public school district may establish a mandatory program for each school in the district, which must </w:t>
      </w:r>
      <w:r w:rsidRPr="00E03F3B">
        <w:rPr>
          <w:rFonts w:eastAsia="Times New Roman" w:cs="Times New Roman"/>
          <w:snapToGrid w:val="0"/>
          <w:szCs w:val="20"/>
        </w:rPr>
        <w:lastRenderedPageBreak/>
        <w:t>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58</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59</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 xml:space="preserve">The department shall implement a tiered system for providing technical and other assistance, professional development, and monitoring for schools and districts. </w:t>
      </w:r>
      <w:r w:rsidRPr="00E03F3B">
        <w:rPr>
          <w:rFonts w:eastAsia="Times New Roman" w:cs="Times New Roman"/>
          <w:szCs w:val="20"/>
        </w:rPr>
        <w:lastRenderedPageBreak/>
        <w:t>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 xml:space="preserve">The State Superintendent of Education may seek a state-of-education emergency declaration in </w:t>
      </w:r>
      <w:r w:rsidRPr="00E03F3B">
        <w:rPr>
          <w:rFonts w:eastAsia="Times New Roman" w:cs="Times New Roman"/>
          <w:szCs w:val="20"/>
        </w:rPr>
        <w:lastRenderedPageBreak/>
        <w:t>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60</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62</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lastRenderedPageBreak/>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SECTION</w:t>
      </w:r>
      <w:r w:rsidRPr="00E03F3B">
        <w:rPr>
          <w:rFonts w:cs="Times New Roman"/>
          <w:u w:color="000000" w:themeColor="text1"/>
        </w:rPr>
        <w:tab/>
        <w:t>63</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64</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65</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SECTION</w:t>
      </w:r>
      <w:r w:rsidRPr="00E03F3B">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w:t>
      </w:r>
      <w:r w:rsidRPr="00E03F3B">
        <w:lastRenderedPageBreak/>
        <w:t xml:space="preserve">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lastRenderedPageBreak/>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E03F3B"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67</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SECTION 68</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E03F3B" w:rsidRPr="00E03F3B">
        <w:rPr>
          <w:rFonts w:eastAsia="Times New Roman" w:cs="Times New Roman"/>
          <w:szCs w:val="20"/>
          <w:u w:color="000000"/>
        </w:rPr>
        <w:t>69</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225607" w:rsidRPr="00E03F3B" w:rsidRDefault="00225607" w:rsidP="00225607">
      <w:pPr>
        <w:jc w:val="both"/>
      </w:pPr>
    </w:p>
    <w:sectPr w:rsidR="00225607"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3B" w:rsidRDefault="00E03F3B">
      <w:r>
        <w:separator/>
      </w:r>
    </w:p>
  </w:endnote>
  <w:endnote w:type="continuationSeparator" w:id="0">
    <w:p w:rsidR="00E03F3B" w:rsidRDefault="00E0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B" w:rsidRPr="00196D86" w:rsidRDefault="00E03F3B"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225607">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3F3B" w:rsidRPr="00196D86" w:rsidRDefault="00E03F3B"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22560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3B" w:rsidRDefault="00E03F3B">
      <w:r>
        <w:separator/>
      </w:r>
    </w:p>
  </w:footnote>
  <w:footnote w:type="continuationSeparator" w:id="0">
    <w:p w:rsidR="00E03F3B" w:rsidRDefault="00E03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A2A03"/>
    <w:rsid w:val="000C252E"/>
    <w:rsid w:val="0013374B"/>
    <w:rsid w:val="001D2463"/>
    <w:rsid w:val="001F0FA2"/>
    <w:rsid w:val="0021777C"/>
    <w:rsid w:val="00225607"/>
    <w:rsid w:val="002564D3"/>
    <w:rsid w:val="002B6473"/>
    <w:rsid w:val="002E3CEF"/>
    <w:rsid w:val="005834BA"/>
    <w:rsid w:val="005A4D62"/>
    <w:rsid w:val="00677EFC"/>
    <w:rsid w:val="0076442E"/>
    <w:rsid w:val="007A308F"/>
    <w:rsid w:val="008416E1"/>
    <w:rsid w:val="00873000"/>
    <w:rsid w:val="00974C4C"/>
    <w:rsid w:val="009C6E0D"/>
    <w:rsid w:val="009E6DBB"/>
    <w:rsid w:val="00A37FD7"/>
    <w:rsid w:val="00AD542E"/>
    <w:rsid w:val="00B200CB"/>
    <w:rsid w:val="00B20119"/>
    <w:rsid w:val="00B71A37"/>
    <w:rsid w:val="00BB2EF7"/>
    <w:rsid w:val="00BC6FEE"/>
    <w:rsid w:val="00BE0AB0"/>
    <w:rsid w:val="00C57FB9"/>
    <w:rsid w:val="00CA1F05"/>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5DE61"/>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A435A612</Template>
  <TotalTime>0</TotalTime>
  <Pages>81</Pages>
  <Words>27194</Words>
  <Characters>151864</Characters>
  <Application>Microsoft Office Word</Application>
  <DocSecurity>0</DocSecurity>
  <Lines>3405</Lines>
  <Paragraphs>601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179465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(Feb. 27, 2020) - South Carolina Legislature Online</dc:title>
  <dc:subject/>
  <dc:creator>Derrick Williamson</dc:creator>
  <cp:keywords/>
  <dc:description/>
  <cp:lastModifiedBy>David Brunson</cp:lastModifiedBy>
  <cp:revision>2</cp:revision>
  <cp:lastPrinted>2020-02-12T04:31:00Z</cp:lastPrinted>
  <dcterms:created xsi:type="dcterms:W3CDTF">2020-02-27T20:38:00Z</dcterms:created>
  <dcterms:modified xsi:type="dcterms:W3CDTF">2020-02-27T20:38:00Z</dcterms:modified>
</cp:coreProperties>
</file>