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3C7705" w:rsidRPr="00FD41A0" w:rsidRDefault="003C7705"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B77868">
      <w:pPr>
        <w:tabs>
          <w:tab w:val="right" w:pos="5933"/>
        </w:tabs>
        <w:suppressAutoHyphens/>
      </w:pPr>
      <w:r>
        <w:tab/>
      </w:r>
      <w:r>
        <w:rPr>
          <w:b/>
          <w:sz w:val="36"/>
        </w:rPr>
        <w:t>H. 4244</w:t>
      </w:r>
    </w:p>
    <w:p w:rsidR="00B77868" w:rsidRDefault="00B77868" w:rsidP="00B77868">
      <w:pPr>
        <w:tabs>
          <w:tab w:val="right" w:pos="5933"/>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C229FE">
      <w:pPr>
        <w:tabs>
          <w:tab w:val="right" w:pos="5933"/>
        </w:tabs>
        <w:suppressAutoHyphens/>
      </w:pPr>
      <w:r>
        <w:t>S. Printed 4/2/19--H.</w:t>
      </w:r>
      <w:r w:rsidR="00C229FE">
        <w:tab/>
        <w:t>[SEC 4/3/19 12:18 PM]</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3C7705" w:rsidRP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705"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10776B" w:rsidRDefault="003C7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705" w:rsidRDefault="003C7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1.</w:t>
      </w:r>
      <w:r w:rsidRPr="00934B64">
        <w:rPr>
          <w:u w:color="000000" w:themeColor="text1"/>
        </w:rPr>
        <w:tab/>
        <w:t>Section 38</w:t>
      </w:r>
      <w:r w:rsidRPr="00934B64">
        <w:rPr>
          <w:u w:color="000000" w:themeColor="text1"/>
        </w:rPr>
        <w:noBreakHyphen/>
        <w:t>78</w:t>
      </w:r>
      <w:r w:rsidRPr="00934B64">
        <w:rPr>
          <w:u w:color="000000" w:themeColor="text1"/>
        </w:rPr>
        <w:noBreakHyphen/>
        <w:t xml:space="preserve">20(12), (13), and (14)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“(12)</w:t>
      </w:r>
      <w:r w:rsidRPr="00934B64">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w:t>
      </w:r>
      <w:r w:rsidRPr="00934B64">
        <w:rPr>
          <w:u w:color="000000" w:themeColor="text1"/>
        </w:rPr>
        <w:lastRenderedPageBreak/>
        <w:t xml:space="preserve">including, but not limited to, towing, rental, and emergency road service. Service contracts may provide for the repair, replacement, or maintenance of property for damage resulting from power surges and accidental damage from handling. </w:t>
      </w:r>
      <w:r w:rsidRPr="00934B64">
        <w:rPr>
          <w:u w:val="single" w:color="000000" w:themeColor="text1"/>
        </w:rPr>
        <w:t>‘Service contract’ includes a contract or agreement for a separately stated consideration for a specific duration to perform one or more of the following services: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(a)</w:t>
      </w:r>
      <w:r w:rsidRPr="00934B64">
        <w:rPr>
          <w:u w:color="000000" w:themeColor="text1"/>
        </w:rPr>
        <w:tab/>
      </w:r>
      <w:r w:rsidRPr="00934B64">
        <w:rPr>
          <w:u w:val="single" w:color="000000" w:themeColor="text1"/>
        </w:rPr>
        <w:t xml:space="preserve">the repair or replacement of tires and wheels on a motor vehicle damaged as a result of coming into contact with road hazards;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(b)</w:t>
      </w:r>
      <w:r w:rsidRPr="00934B64">
        <w:rPr>
          <w:u w:color="000000" w:themeColor="text1"/>
        </w:rPr>
        <w:tab/>
      </w:r>
      <w:r w:rsidRPr="00934B64">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color="000000" w:themeColor="text1"/>
        </w:rPr>
        <w:tab/>
      </w:r>
      <w:r w:rsidRPr="00934B64">
        <w:rPr>
          <w:u w:val="single" w:color="000000" w:themeColor="text1"/>
        </w:rPr>
        <w:t>(c)</w:t>
      </w:r>
      <w:r w:rsidRPr="00934B64">
        <w:rPr>
          <w:u w:color="000000" w:themeColor="text1"/>
        </w:rPr>
        <w:tab/>
      </w:r>
      <w:r w:rsidRPr="00934B64">
        <w:rPr>
          <w:u w:val="single" w:color="000000" w:themeColor="text1"/>
        </w:rPr>
        <w:t>the replacement of a motor vehicle key or key fob in the event that the key or key fob becomes inoperable, lost, or stolen; and</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(d)</w:t>
      </w:r>
      <w:r w:rsidRPr="00934B64">
        <w:rPr>
          <w:u w:color="000000" w:themeColor="text1"/>
        </w:rPr>
        <w:tab/>
      </w:r>
      <w:r w:rsidRPr="00934B64">
        <w:rPr>
          <w:u w:val="single" w:color="000000" w:themeColor="text1"/>
        </w:rPr>
        <w:t>other services consistent with the provisions of this chapter approved by the director.</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t>(13)</w:t>
      </w:r>
      <w:r w:rsidRPr="00934B64">
        <w:rPr>
          <w:u w:color="000000" w:themeColor="text1"/>
        </w:rPr>
        <w:tab/>
      </w:r>
      <w:r w:rsidRPr="00934B64">
        <w:rPr>
          <w:u w:val="single" w:color="000000" w:themeColor="text1"/>
        </w:rPr>
        <w:t>‘Road hazard’ means a hazard that is encountered while driving a motor vehicle including, but not limited to, potholes, rocks, wood debris, metal parts, glass, plastic, curbs, or composite scraps.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val="single" w:color="000000" w:themeColor="text1"/>
        </w:rPr>
        <w:t>(14)</w:t>
      </w:r>
      <w:r w:rsidRPr="00934B64">
        <w:rPr>
          <w:u w:color="000000" w:themeColor="text1"/>
        </w:rPr>
        <w:tab/>
        <w:t>‘Service contract holder’ or ‘contract holder’ means a person who is the purchaser or holder of a service contract.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(15)</w:t>
      </w:r>
      <w:r w:rsidRPr="00934B64">
        <w:rPr>
          <w:u w:color="000000" w:themeColor="text1"/>
        </w:rPr>
        <w:tab/>
      </w:r>
      <w:r w:rsidRPr="00934B64">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934B64">
        <w:rPr>
          <w:u w:val="single" w:color="000000" w:themeColor="text1"/>
        </w:rPr>
        <w:noBreakHyphen/>
        <w:t xml:space="preserve">part marking products, steering locks, window etch products, pedal and ignition locks, fuel and ignition kill switches, and electronic, radio, and satellite tracking devices.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(16)</w:t>
      </w:r>
      <w:r w:rsidRPr="00934B64">
        <w:rPr>
          <w:u w:color="000000" w:themeColor="text1"/>
        </w:rPr>
        <w:tab/>
      </w:r>
      <w:r w:rsidRPr="00934B64">
        <w:rPr>
          <w:u w:val="single" w:color="000000" w:themeColor="text1"/>
        </w:rPr>
        <w:t xml:space="preserve">‘Theft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w:t>
      </w:r>
      <w:r w:rsidRPr="00934B64">
        <w:rPr>
          <w:u w:val="single" w:color="000000" w:themeColor="text1"/>
        </w:rPr>
        <w:lastRenderedPageBreak/>
        <w:t xml:space="preserve">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w:t>
      </w:r>
      <w:bookmarkStart w:id="5" w:name="temp"/>
      <w:bookmarkEnd w:id="5"/>
      <w:r w:rsidRPr="00934B64">
        <w:rPr>
          <w:u w:val="single" w:color="000000" w:themeColor="text1"/>
        </w:rPr>
        <w:t>disclosure substantially similar to the following in ten</w:t>
      </w:r>
      <w:r w:rsidRPr="00934B64">
        <w:rPr>
          <w:u w:val="single" w:color="000000" w:themeColor="text1"/>
        </w:rPr>
        <w:noBreakHyphen/>
        <w:t>point bold font: ‘This warranty is not insurance and payments or reimbursement under this warranty may not exceed five thousand dollars.’</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strike/>
          <w:u w:color="000000" w:themeColor="text1"/>
        </w:rPr>
        <w:t>(14)</w:t>
      </w:r>
      <w:r w:rsidRPr="00934B64">
        <w:rPr>
          <w:u w:val="single" w:color="000000" w:themeColor="text1"/>
        </w:rPr>
        <w:t>(17)</w:t>
      </w:r>
      <w:r w:rsidRPr="00934B64">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934B64">
        <w:rPr>
          <w:u w:val="single" w:color="000000" w:themeColor="text1"/>
        </w:rPr>
        <w:t>This term includes theft protection program warranties if the warrantor has obtained a reimbursement insurance policy to insure its warranty obligations in this State.</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2.</w:t>
      </w:r>
      <w:r w:rsidRPr="00934B64">
        <w:rPr>
          <w:u w:color="000000" w:themeColor="text1"/>
        </w:rPr>
        <w:tab/>
        <w:t>Section 38</w:t>
      </w:r>
      <w:r w:rsidRPr="00934B64">
        <w:rPr>
          <w:u w:color="000000" w:themeColor="text1"/>
        </w:rPr>
        <w:noBreakHyphen/>
        <w:t>78</w:t>
      </w:r>
      <w:r w:rsidRPr="00934B64">
        <w:rPr>
          <w:u w:color="000000" w:themeColor="text1"/>
        </w:rPr>
        <w:noBreakHyphen/>
        <w:t xml:space="preserve">30(E)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“(E)</w:t>
      </w:r>
      <w:r w:rsidRPr="00934B64">
        <w:rPr>
          <w:u w:color="000000" w:themeColor="text1"/>
        </w:rPr>
        <w:tab/>
        <w:t xml:space="preserve">Except for the requirements specified in subsection (D), no other financial security requirements shall be required by the director for service contract providers. </w:t>
      </w:r>
      <w:r w:rsidRPr="00934B64">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3.</w:t>
      </w:r>
      <w:r w:rsidRPr="00934B64">
        <w:rPr>
          <w:u w:color="000000" w:themeColor="text1"/>
        </w:rPr>
        <w:tab/>
        <w:t>Section 38</w:t>
      </w:r>
      <w:r w:rsidRPr="00934B64">
        <w:rPr>
          <w:u w:color="000000" w:themeColor="text1"/>
        </w:rPr>
        <w:noBreakHyphen/>
        <w:t>78</w:t>
      </w:r>
      <w:r w:rsidRPr="00934B64">
        <w:rPr>
          <w:u w:color="000000" w:themeColor="text1"/>
        </w:rPr>
        <w:noBreakHyphen/>
        <w:t xml:space="preserve">50 of the 1976 Code is amended by adding an appropriately lettered subsection at the end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  )</w:t>
      </w:r>
      <w:r w:rsidRPr="00934B64">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934B64">
        <w:rPr>
          <w:u w:color="000000" w:themeColor="text1"/>
        </w:rPr>
        <w:noBreakHyphen/>
        <w:t>3467’.”</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90E" w:rsidRPr="004D34DD"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4B64">
        <w:rPr>
          <w:u w:color="000000" w:themeColor="text1"/>
        </w:rPr>
        <w:t>SECTION</w:t>
      </w:r>
      <w:r w:rsidRPr="00934B64">
        <w:rPr>
          <w:u w:color="000000" w:themeColor="text1"/>
        </w:rPr>
        <w:tab/>
        <w:t>4.</w:t>
      </w:r>
      <w:r w:rsidRPr="00934B64">
        <w:rPr>
          <w:u w:color="000000" w:themeColor="text1"/>
        </w:rPr>
        <w:tab/>
        <w:t>This act takes effect on January 1, 2020.</w:t>
      </w:r>
      <w:r w:rsidR="002D590E" w:rsidRPr="004D34DD">
        <w:rPr>
          <w:color w:val="000000" w:themeColor="text1"/>
          <w:u w:color="000000" w:themeColor="text1"/>
        </w:rPr>
        <w:t xml:space="preserve">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B84" w:rsidRDefault="00527B84" w:rsidP="00527B84">
      <w:pPr>
        <w:suppressAutoHyphens/>
      </w:pPr>
    </w:p>
    <w:sectPr w:rsidR="00527B84"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F68E2A6-6F09-457B-AA08-C218DE183586}"/>
    <w:embedBold r:id="rId2" w:fontKey="{CA210873-282F-42FC-A531-2CF7F2A80ABA}"/>
  </w:font>
  <w:font w:name="Calibri">
    <w:panose1 w:val="020F0502020204030204"/>
    <w:charset w:val="00"/>
    <w:family w:val="swiss"/>
    <w:pitch w:val="variable"/>
    <w:sig w:usb0="E0002AFF" w:usb1="C000247B" w:usb2="00000009" w:usb3="00000000" w:csb0="000001FF" w:csb1="00000000"/>
    <w:embedRegular r:id="rId3" w:fontKey="{F3EFD61B-0AD8-4F5C-900B-1E172020BF04}"/>
  </w:font>
  <w:font w:name="Segoe UI">
    <w:panose1 w:val="020B0502040204020203"/>
    <w:charset w:val="00"/>
    <w:family w:val="swiss"/>
    <w:pitch w:val="variable"/>
    <w:sig w:usb0="E4002EFF" w:usb1="C000E47F" w:usb2="00000009" w:usb3="00000000" w:csb0="000001FF" w:csb1="00000000"/>
    <w:embedRegular r:id="rId4" w:fontKey="{97DBDCD2-8F6F-4B75-A69F-E0EFC69D1EE1}"/>
  </w:font>
  <w:font w:name="Cambria">
    <w:panose1 w:val="02040503050406030204"/>
    <w:charset w:val="00"/>
    <w:family w:val="roman"/>
    <w:pitch w:val="variable"/>
    <w:sig w:usb0="E00006FF" w:usb1="420024FF" w:usb2="02000000" w:usb3="00000000" w:csb0="0000019F" w:csb1="00000000"/>
    <w:embedRegular r:id="rId5" w:fontKey="{4F91DD02-9634-4DAE-998F-DC57D9C6E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C229FE">
      <w:rPr>
        <w:noProof/>
      </w:rPr>
      <w:t>1</w:t>
    </w:r>
    <w:r w:rsidR="003A4F2F">
      <w:fldChar w:fldCharType="end"/>
    </w:r>
    <w:r w:rsidR="003A4F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527B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C7705"/>
    <w:rsid w:val="003D01E8"/>
    <w:rsid w:val="003E5288"/>
    <w:rsid w:val="003F6D79"/>
    <w:rsid w:val="0041760A"/>
    <w:rsid w:val="00417C01"/>
    <w:rsid w:val="004403BD"/>
    <w:rsid w:val="00461441"/>
    <w:rsid w:val="004809EE"/>
    <w:rsid w:val="004A6E55"/>
    <w:rsid w:val="004E7D54"/>
    <w:rsid w:val="005176FD"/>
    <w:rsid w:val="005273C6"/>
    <w:rsid w:val="00527B84"/>
    <w:rsid w:val="00530A69"/>
    <w:rsid w:val="00545593"/>
    <w:rsid w:val="00556EBF"/>
    <w:rsid w:val="00577C6C"/>
    <w:rsid w:val="005A62FE"/>
    <w:rsid w:val="005C2FE2"/>
    <w:rsid w:val="005E2BC9"/>
    <w:rsid w:val="00605102"/>
    <w:rsid w:val="006215AA"/>
    <w:rsid w:val="00690301"/>
    <w:rsid w:val="006913C9"/>
    <w:rsid w:val="0069470D"/>
    <w:rsid w:val="006D58AA"/>
    <w:rsid w:val="00734F00"/>
    <w:rsid w:val="007A70AE"/>
    <w:rsid w:val="00812091"/>
    <w:rsid w:val="008362E8"/>
    <w:rsid w:val="00850052"/>
    <w:rsid w:val="0085786E"/>
    <w:rsid w:val="008A1768"/>
    <w:rsid w:val="008A489F"/>
    <w:rsid w:val="008B03A9"/>
    <w:rsid w:val="008F0F33"/>
    <w:rsid w:val="008F4429"/>
    <w:rsid w:val="0094021A"/>
    <w:rsid w:val="009424B8"/>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77868"/>
    <w:rsid w:val="00BE3C22"/>
    <w:rsid w:val="00C0345E"/>
    <w:rsid w:val="00C229F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40587-8283-4D74-A309-1F2FB9B9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4</Pages>
  <Words>976</Words>
  <Characters>5307</Characters>
  <Application>Microsoft Office Word</Application>
  <DocSecurity>0</DocSecurity>
  <Lines>145</Lines>
  <Paragraphs>29</Paragraphs>
  <ScaleCrop>false</ScaleCrop>
  <HeadingPairs>
    <vt:vector size="2" baseType="variant">
      <vt:variant>
        <vt:lpstr>Title</vt:lpstr>
      </vt:variant>
      <vt:variant>
        <vt:i4>1</vt:i4>
      </vt:variant>
    </vt:vector>
  </HeadingPairs>
  <TitlesOfParts>
    <vt:vector size="1" baseType="lpstr">
      <vt:lpstr>2019-2020 Bill 4244: Subject not yet available - South Carolina Legislature Online</vt:lpstr>
    </vt:vector>
  </TitlesOfParts>
  <Company>LPITS</Company>
  <LinksUpToDate>false</LinksUpToDate>
  <CharactersWithSpaces>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(Apr. 3, 2019) - South Carolina Legislature Online</dc:title>
  <dc:creator>Bonnie Huth</dc:creator>
  <cp:lastModifiedBy>Lavarres Lynch</cp:lastModifiedBy>
  <cp:revision>2</cp:revision>
  <cp:lastPrinted>2019-01-30T17:51:00Z</cp:lastPrinted>
  <dcterms:created xsi:type="dcterms:W3CDTF">2019-04-03T16:18:00Z</dcterms:created>
  <dcterms:modified xsi:type="dcterms:W3CDTF">2019-04-03T16:18:00Z</dcterms:modified>
</cp:coreProperties>
</file>