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74E" w:rsidRDefault="0079474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4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57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7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78B1">
        <w:rPr>
          <w:color w:val="000000" w:themeColor="text1"/>
          <w:u w:color="000000" w:themeColor="text1"/>
        </w:rPr>
        <w:t>TO AMEND SECTION 6</w:t>
      </w:r>
      <w:r w:rsidR="00576D2E">
        <w:rPr>
          <w:color w:val="000000" w:themeColor="text1"/>
          <w:u w:color="000000" w:themeColor="text1"/>
        </w:rPr>
        <w:noBreakHyphen/>
      </w:r>
      <w:r w:rsidRPr="000778B1">
        <w:rPr>
          <w:color w:val="000000" w:themeColor="text1"/>
          <w:u w:color="000000" w:themeColor="text1"/>
        </w:rPr>
        <w:t>9</w:t>
      </w:r>
      <w:r w:rsidR="00576D2E">
        <w:rPr>
          <w:color w:val="000000" w:themeColor="text1"/>
          <w:u w:color="000000" w:themeColor="text1"/>
        </w:rPr>
        <w:noBreakHyphen/>
      </w:r>
      <w:r w:rsidRPr="000778B1">
        <w:rPr>
          <w:color w:val="000000" w:themeColor="text1"/>
          <w:u w:color="000000" w:themeColor="text1"/>
        </w:rPr>
        <w:t>65, CODE OF LAWS OF SOUTH CAROLINA, 1976, RELATING TO THE INAPPLICABILITY OF CERTAIN BUILDING CODES ON FARM STRUCTURES, SO AS TO REVISE THE DEFINITION OF “FARM STRUCTURE” FOR PURPOSES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57CB" w:rsidRDefault="00D45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57CB" w:rsidRDefault="00D45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961" w:rsidRPr="000778B1" w:rsidRDefault="00D457CB" w:rsidP="00E17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17961" w:rsidRPr="000778B1">
        <w:rPr>
          <w:color w:val="000000" w:themeColor="text1"/>
          <w:u w:color="000000" w:themeColor="text1"/>
        </w:rPr>
        <w:t>Section 6</w:t>
      </w:r>
      <w:r w:rsidR="00576D2E">
        <w:rPr>
          <w:color w:val="000000" w:themeColor="text1"/>
          <w:u w:color="000000" w:themeColor="text1"/>
        </w:rPr>
        <w:noBreakHyphen/>
      </w:r>
      <w:r w:rsidR="00E17961" w:rsidRPr="000778B1">
        <w:rPr>
          <w:color w:val="000000" w:themeColor="text1"/>
          <w:u w:color="000000" w:themeColor="text1"/>
        </w:rPr>
        <w:t>9</w:t>
      </w:r>
      <w:r w:rsidR="00576D2E">
        <w:rPr>
          <w:color w:val="000000" w:themeColor="text1"/>
          <w:u w:color="000000" w:themeColor="text1"/>
        </w:rPr>
        <w:noBreakHyphen/>
      </w:r>
      <w:r w:rsidR="00E17961" w:rsidRPr="000778B1">
        <w:rPr>
          <w:color w:val="000000" w:themeColor="text1"/>
          <w:u w:color="000000" w:themeColor="text1"/>
        </w:rPr>
        <w:t>65 of the 1976 Code is amended to read:</w:t>
      </w:r>
    </w:p>
    <w:p w:rsidR="00E17961" w:rsidRPr="000778B1" w:rsidRDefault="00E17961" w:rsidP="00E17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961" w:rsidRPr="000778B1" w:rsidRDefault="00E17961" w:rsidP="00E17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778B1">
        <w:rPr>
          <w:color w:val="000000" w:themeColor="text1"/>
          <w:u w:color="000000" w:themeColor="text1"/>
        </w:rPr>
        <w:tab/>
        <w:t>“</w:t>
      </w:r>
      <w:r w:rsidR="00AA3F61">
        <w:rPr>
          <w:color w:val="000000" w:themeColor="text1"/>
          <w:u w:color="000000" w:themeColor="text1"/>
        </w:rPr>
        <w:t>Section 6</w:t>
      </w:r>
      <w:r w:rsidR="00576D2E">
        <w:rPr>
          <w:color w:val="000000" w:themeColor="text1"/>
          <w:u w:color="000000" w:themeColor="text1"/>
        </w:rPr>
        <w:noBreakHyphen/>
      </w:r>
      <w:r w:rsidR="00AA3F61">
        <w:rPr>
          <w:color w:val="000000" w:themeColor="text1"/>
          <w:u w:color="000000" w:themeColor="text1"/>
        </w:rPr>
        <w:t>9</w:t>
      </w:r>
      <w:r w:rsidR="00576D2E">
        <w:rPr>
          <w:color w:val="000000" w:themeColor="text1"/>
          <w:u w:color="000000" w:themeColor="text1"/>
        </w:rPr>
        <w:noBreakHyphen/>
      </w:r>
      <w:r w:rsidR="00AA3F61">
        <w:rPr>
          <w:color w:val="000000" w:themeColor="text1"/>
          <w:u w:color="000000" w:themeColor="text1"/>
        </w:rPr>
        <w:t>65.</w:t>
      </w:r>
      <w:r w:rsidR="00AA3F61">
        <w:rPr>
          <w:color w:val="000000" w:themeColor="text1"/>
          <w:u w:color="000000" w:themeColor="text1"/>
        </w:rPr>
        <w:tab/>
      </w:r>
      <w:r w:rsidR="00487AAA">
        <w:rPr>
          <w:color w:val="000000" w:themeColor="text1"/>
          <w:u w:color="000000" w:themeColor="text1"/>
        </w:rPr>
        <w:t>(A)</w:t>
      </w:r>
      <w:r w:rsidR="00487AAA">
        <w:rPr>
          <w:color w:val="000000" w:themeColor="text1"/>
          <w:u w:color="000000" w:themeColor="text1"/>
        </w:rPr>
        <w:tab/>
      </w:r>
      <w:r w:rsidRPr="000778B1">
        <w:rPr>
          <w:color w:val="000000" w:themeColor="text1"/>
          <w:u w:color="000000" w:themeColor="text1"/>
        </w:rPr>
        <w:t xml:space="preserve">For purposes of this section, </w:t>
      </w:r>
      <w:r w:rsidR="00576D2E" w:rsidRPr="00576D2E">
        <w:rPr>
          <w:color w:val="000000" w:themeColor="text1"/>
          <w:u w:color="000000" w:themeColor="text1"/>
        </w:rPr>
        <w:t>‘</w:t>
      </w:r>
      <w:r w:rsidRPr="000778B1">
        <w:rPr>
          <w:color w:val="000000" w:themeColor="text1"/>
          <w:u w:color="000000" w:themeColor="text1"/>
        </w:rPr>
        <w:t>farm structure</w:t>
      </w:r>
      <w:r w:rsidR="00576D2E" w:rsidRPr="00576D2E">
        <w:rPr>
          <w:color w:val="000000" w:themeColor="text1"/>
          <w:u w:color="000000" w:themeColor="text1"/>
        </w:rPr>
        <w:t>’</w:t>
      </w:r>
      <w:r w:rsidRPr="000778B1">
        <w:rPr>
          <w:color w:val="000000" w:themeColor="text1"/>
          <w:u w:color="000000" w:themeColor="text1"/>
        </w:rPr>
        <w:t xml:space="preserve"> means a structure which is constructed on a farm, other than a residence or a structure attached to it, for use on the farm including, but not limited to, barns, sheds, and poultry houses, but not public livestock areas. </w:t>
      </w:r>
      <w:r w:rsidRPr="000778B1">
        <w:rPr>
          <w:strike/>
          <w:color w:val="000000" w:themeColor="text1"/>
          <w:u w:color="000000" w:themeColor="text1"/>
        </w:rPr>
        <w:t>For purposes of this section, “farm structure” does not include a structure originally qualifying as a “farm structure” but later converted to another use.</w:t>
      </w:r>
    </w:p>
    <w:p w:rsidR="00E17961" w:rsidRPr="000778B1" w:rsidRDefault="00487AAA" w:rsidP="00E17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17961" w:rsidRPr="000778B1">
        <w:rPr>
          <w:color w:val="000000" w:themeColor="text1"/>
          <w:u w:color="000000" w:themeColor="text1"/>
        </w:rPr>
        <w:t>The governing body of a county or municipality may not enforce that portion of a nationally recognized building code which regulates the construction or improvement of a farm structure. The standards published by the Federal Emergency Management Agency for the National Flood Insurance Program shall apply.</w:t>
      </w:r>
    </w:p>
    <w:p w:rsidR="00E17961" w:rsidRPr="000778B1" w:rsidRDefault="00487AAA" w:rsidP="00E17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17961" w:rsidRPr="000778B1">
        <w:rPr>
          <w:color w:val="000000" w:themeColor="text1"/>
          <w:u w:color="000000" w:themeColor="text1"/>
        </w:rPr>
        <w:t>The provisions of this section do not apply unless, before constructing a farm structure, the person owning the property on which the structure is to be constructed files an affidavit with the county or municipal official responsible for enforcing the building code stating that the structure is being constructed as a farm structure. The affidavit must include a statement of purpose or intended use of the proposed structure or addition.</w:t>
      </w:r>
    </w:p>
    <w:p w:rsidR="00D457CB" w:rsidRDefault="00487AAA" w:rsidP="00E17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t>(D)</w:t>
      </w:r>
      <w:r>
        <w:rPr>
          <w:color w:val="000000" w:themeColor="text1"/>
          <w:u w:color="000000" w:themeColor="text1"/>
        </w:rPr>
        <w:tab/>
      </w:r>
      <w:r w:rsidR="00E17961" w:rsidRPr="000778B1">
        <w:rPr>
          <w:color w:val="000000" w:themeColor="text1"/>
          <w:u w:color="000000" w:themeColor="text1"/>
        </w:rPr>
        <w:t>This section does not affect the authority of the governing body of a county or municipality to issue building permits before the construction or improvement of a farm structure.”</w:t>
      </w:r>
    </w:p>
    <w:p w:rsidR="00D457CB" w:rsidRDefault="00D45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7CB" w:rsidRDefault="00D45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7961">
        <w:t>2</w:t>
      </w:r>
      <w:r>
        <w:t>.</w:t>
      </w:r>
      <w:r>
        <w:tab/>
        <w:t>This act takes effect upon approval by the Governor.</w:t>
      </w:r>
    </w:p>
    <w:p w:rsidR="00B200CD" w:rsidRDefault="00576D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474E" w:rsidRDefault="0079474E" w:rsidP="0079474E">
      <w:pPr>
        <w:suppressAutoHyphens/>
      </w:pPr>
    </w:p>
    <w:sectPr w:rsidR="0079474E" w:rsidSect="007947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7CB" w:rsidRDefault="00D457CB" w:rsidP="009F0C77">
      <w:r>
        <w:separator/>
      </w:r>
    </w:p>
  </w:endnote>
  <w:endnote w:type="continuationSeparator" w:id="0">
    <w:p w:rsidR="00D457CB" w:rsidRDefault="00D457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16F044-FED3-4FAE-A183-E6BFC2F4313E}"/>
    <w:embedBold r:id="rId2" w:fontKey="{73E7FF65-6EDB-4C03-9A3F-B7236550B022}"/>
  </w:font>
  <w:font w:name="Calibri">
    <w:panose1 w:val="020F0502020204030204"/>
    <w:charset w:val="00"/>
    <w:family w:val="swiss"/>
    <w:pitch w:val="variable"/>
    <w:sig w:usb0="E00002FF" w:usb1="4000ACFF" w:usb2="00000001" w:usb3="00000000" w:csb0="0000019F" w:csb1="00000000"/>
    <w:embedRegular r:id="rId3" w:fontKey="{7F4B4722-02E7-46CD-B9EE-891272FC02E9}"/>
  </w:font>
  <w:font w:name="Segoe UI">
    <w:panose1 w:val="020B0502040204020203"/>
    <w:charset w:val="00"/>
    <w:family w:val="swiss"/>
    <w:pitch w:val="variable"/>
    <w:sig w:usb0="E10022FF" w:usb1="C000E47F" w:usb2="00000029" w:usb3="00000000" w:csb0="000001DF" w:csb1="00000000"/>
    <w:embedRegular r:id="rId4" w:fontKey="{99BCA877-9B4A-4D15-8E00-0088E992D9FD}"/>
  </w:font>
  <w:font w:name="Cambria">
    <w:panose1 w:val="02040503050406030204"/>
    <w:charset w:val="00"/>
    <w:family w:val="roman"/>
    <w:pitch w:val="variable"/>
    <w:sig w:usb0="E00002FF" w:usb1="400004FF" w:usb2="00000000" w:usb3="00000000" w:csb0="0000019F" w:csb1="00000000"/>
    <w:embedRegular r:id="rId5" w:fontKey="{3D3D059B-CA4F-4E8F-8782-01E6006721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0CD" w:rsidRPr="0079474E" w:rsidRDefault="0079474E" w:rsidP="0079474E">
    <w:pPr>
      <w:pStyle w:val="Footer"/>
      <w:tabs>
        <w:tab w:val="clear" w:pos="4680"/>
        <w:tab w:val="clear" w:pos="9360"/>
        <w:tab w:val="center" w:pos="2995"/>
      </w:tabs>
      <w:spacing w:before="120"/>
    </w:pPr>
    <w:r>
      <w:t>[4327]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7CB" w:rsidRDefault="00D457CB" w:rsidP="009F0C77">
      <w:r>
        <w:separator/>
      </w:r>
    </w:p>
  </w:footnote>
  <w:footnote w:type="continuationSeparator" w:id="0">
    <w:p w:rsidR="00D457CB" w:rsidRDefault="00D457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27ZW19"/>
    <w:docVar w:name="CoverBillType" w:val="b"/>
    <w:docVar w:name="DocPath" w:val="L:\Council\bills\CC\15527ZW19.DOCX"/>
    <w:docVar w:name="dvBillNumber" w:val="4327"/>
    <w:docVar w:name="dvBillNumberPrefix" w:val="H. "/>
    <w:docVar w:name="dvOriginalBody" w:val="House"/>
    <w:docVar w:name="dvSteno" w:val="CC"/>
    <w:docVar w:name="NameofBody" w:val="h"/>
    <w:docVar w:name="vGroup2" w:val="Council"/>
  </w:docVars>
  <w:rsids>
    <w:rsidRoot w:val="00D457C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229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AAA"/>
    <w:rsid w:val="004E7D54"/>
    <w:rsid w:val="00525B90"/>
    <w:rsid w:val="005273C6"/>
    <w:rsid w:val="00530A69"/>
    <w:rsid w:val="00545593"/>
    <w:rsid w:val="00556EBF"/>
    <w:rsid w:val="00576D2E"/>
    <w:rsid w:val="00577C6C"/>
    <w:rsid w:val="005A62FE"/>
    <w:rsid w:val="005C2FE2"/>
    <w:rsid w:val="005E2BC9"/>
    <w:rsid w:val="00605102"/>
    <w:rsid w:val="006215AA"/>
    <w:rsid w:val="006913C9"/>
    <w:rsid w:val="0069470D"/>
    <w:rsid w:val="006D58AA"/>
    <w:rsid w:val="00734F00"/>
    <w:rsid w:val="0079474E"/>
    <w:rsid w:val="007A70AE"/>
    <w:rsid w:val="008362E8"/>
    <w:rsid w:val="0085786E"/>
    <w:rsid w:val="008A1768"/>
    <w:rsid w:val="008A489F"/>
    <w:rsid w:val="008F0F33"/>
    <w:rsid w:val="008F4429"/>
    <w:rsid w:val="0094021A"/>
    <w:rsid w:val="009B44AF"/>
    <w:rsid w:val="009C6A0B"/>
    <w:rsid w:val="009F0C77"/>
    <w:rsid w:val="009F4DD1"/>
    <w:rsid w:val="00A02543"/>
    <w:rsid w:val="00A039A6"/>
    <w:rsid w:val="00A41684"/>
    <w:rsid w:val="00A64E80"/>
    <w:rsid w:val="00A72BCD"/>
    <w:rsid w:val="00A741D9"/>
    <w:rsid w:val="00A833AB"/>
    <w:rsid w:val="00A9741D"/>
    <w:rsid w:val="00AA3F61"/>
    <w:rsid w:val="00AC34A2"/>
    <w:rsid w:val="00AD1C9A"/>
    <w:rsid w:val="00AD4B17"/>
    <w:rsid w:val="00B200CD"/>
    <w:rsid w:val="00B412D4"/>
    <w:rsid w:val="00BE3C22"/>
    <w:rsid w:val="00C0345E"/>
    <w:rsid w:val="00C31C95"/>
    <w:rsid w:val="00C3483A"/>
    <w:rsid w:val="00C74E9D"/>
    <w:rsid w:val="00C826DD"/>
    <w:rsid w:val="00C82FD3"/>
    <w:rsid w:val="00C92819"/>
    <w:rsid w:val="00CC6B7B"/>
    <w:rsid w:val="00CD2089"/>
    <w:rsid w:val="00D457CB"/>
    <w:rsid w:val="00D70912"/>
    <w:rsid w:val="00D73A67"/>
    <w:rsid w:val="00D970A9"/>
    <w:rsid w:val="00DF3845"/>
    <w:rsid w:val="00E1796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380D42-0F5B-4BF8-A7A2-8467FBA0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09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9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C6935-7D73-447C-87CA-52D867A27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91A11FDA.dotm</Template>
  <TotalTime>0</TotalTime>
  <Pages>2</Pages>
  <Words>297</Words>
  <Characters>1525</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4327 Text of Previous Version (Mar. 27, 2019) - South Carolina Legislature Online</dc:title>
  <dc:creator>Chris Charlton</dc:creator>
  <cp:lastModifiedBy>S Volk</cp:lastModifiedBy>
  <cp:revision>2</cp:revision>
  <cp:lastPrinted>2019-03-26T16:31:00Z</cp:lastPrinted>
  <dcterms:created xsi:type="dcterms:W3CDTF">2019-03-27T17:02:00Z</dcterms:created>
  <dcterms:modified xsi:type="dcterms:W3CDTF">2019-03-27T17:02:00Z</dcterms:modified>
</cp:coreProperties>
</file>