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8F9" w:rsidRP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C17">
        <w:t>AMENDED</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Pr="003D5C17" w:rsidRDefault="003D5C17" w:rsidP="003D5C17">
      <w:pPr>
        <w:tabs>
          <w:tab w:val="right" w:pos="5933"/>
        </w:tabs>
        <w:suppressAutoHyphens/>
      </w:pPr>
      <w:r>
        <w:tab/>
      </w:r>
      <w:r>
        <w:rPr>
          <w:b/>
          <w:sz w:val="36"/>
        </w:rPr>
        <w:t>H. 4431</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Kirby, Sandifer, Jefferson, R. Williams, Kimmons, Murphy, Chellis and Daning</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EC2164">
      <w:pPr>
        <w:tabs>
          <w:tab w:val="right" w:pos="5933"/>
        </w:tabs>
        <w:suppressAutoHyphens/>
      </w:pPr>
      <w:r>
        <w:t>S. Printed 2/26/20--H.</w:t>
      </w:r>
      <w:r w:rsidR="00EC2164">
        <w:tab/>
        <w:t>[SEC 2/27/20 10:28 AM]</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3D5C17" w:rsidRP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C17"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1"/>
    </w:p>
    <w:p w:rsidR="00767342" w:rsidRDefault="003D5C17"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5C17" w:rsidRDefault="003D5C17"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1.</w:t>
      </w:r>
      <w:r w:rsidRPr="00D95BF8">
        <w:tab/>
        <w:t>This act may be cited as the “South Carolina Business License Tax Standardization Act”.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2.</w:t>
      </w:r>
      <w:r w:rsidRPr="00D95BF8">
        <w:tab/>
        <w:t>Article 3, Chapter 1, Title 6 of the 1976 Code is amended by adding:</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w:t>
      </w:r>
      <w:bookmarkStart w:id="5" w:name="_Hlk31965048"/>
      <w:r w:rsidRPr="00D95BF8">
        <w:t>Section 6</w:t>
      </w:r>
      <w:r w:rsidRPr="00D95BF8">
        <w:noBreakHyphen/>
        <w:t>1</w:t>
      </w:r>
      <w:r w:rsidRPr="00D95BF8">
        <w:noBreakHyphen/>
        <w:t>400</w:t>
      </w:r>
      <w:bookmarkEnd w:id="5"/>
      <w:r w:rsidRPr="00D95BF8">
        <w:t>.</w:t>
      </w:r>
      <w:r w:rsidRPr="00D95BF8">
        <w:tab/>
        <w:t>(A)</w:t>
      </w:r>
      <w:r w:rsidRPr="00D95BF8">
        <w:tab/>
        <w:t>Notwithstanding Section 5</w:t>
      </w:r>
      <w:r w:rsidRPr="00D95BF8">
        <w:noBreakHyphen/>
        <w:t>7</w:t>
      </w:r>
      <w:r w:rsidRPr="00D95BF8">
        <w:noBreakHyphen/>
        <w:t>30 or any other provision of law, any business license tax levied by a taxing jurisdiction must comply with the provisions of this section. For purposes of this section, ‘taxing jurisdiction’ means a county or municipality levying a business license tax.</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(B)(1)</w:t>
      </w:r>
      <w:r w:rsidRPr="00D95BF8">
        <w:tab/>
        <w:t>Each business license issued must expire April thirtieth, or if issued on a construction contract, at the completion of the construction project.  The business license must be renewed before May first of the year in which it expires. If the tax is not paid before May first, a taxing jurisdiction may impose penalties, except an admitted insurance company may pay before June first without penalty.</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business license tax must be computed based on the gross income for the calendar year preceding the due date, the business’</w:t>
      </w:r>
      <w:r w:rsidRPr="00D95BF8">
        <w:rPr>
          <w:szCs w:val="36"/>
        </w:rPr>
        <w:t>s</w:t>
      </w:r>
      <w:r w:rsidRPr="00D95BF8">
        <w:t xml:space="preserve"> twelve-month fiscal year preceding the due date, or on a twelve-month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 at the option of the taxpayer. A general contractor may choose to be issued a business license on the total value of his project’s contract and that of his subcontractors or allow a taxing jurisdiction to withhold the certificate of occupancy on the project until each of his subcontractors obtains a business license for the project. If the general contractor is issued a business license on the total value of his project’s contract and that of his subcontractors, he may request a refund in accordance with subsection (D) for the amounts of the business license tax paid by his subcontractors on the project. Wholesalers are exempt from municipal license taxes unless they maintain warehouses or distribution establishments within the municipality. A wholesale transaction involves a sale to an individual who will resell the </w:t>
      </w:r>
      <w:r w:rsidRPr="00D95BF8">
        <w:lastRenderedPageBreak/>
        <w:t xml:space="preserve">property and includes delivery to the reseller. It does not include a sale to a user or consumer.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For purposes of this subsection, ‘gross income’ means the gross receipts or gross revenue of a business, received or accrued, for one calendar or fiscal year collected or to be collected from business done within the taxing jurisdiction in which it is domiciled. If the person or business does business within a municipality or county where it is not domiciled, it shall pay the business license tax on the gross income earned within that municipality or county. If the person or business taxed pays a business license tax to a county or to another municipality where the income is earned, the gross income for the purpose of computing the tax must be reduced by the amount of gross income taxed in the other county or municipality. ‘Gross income for agents’ means gross commissions received or retained, unless otherwise specified. If commissions are divided with other brokers or agents, only the amount retained by the broker or agent is considered gross income. ‘Gross income for insurance companies’ means gross premiums written. Adjusted 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D95BF8">
        <w:rPr>
          <w:szCs w:val="36"/>
        </w:rPr>
        <w:t>s</w:t>
      </w:r>
      <w:r w:rsidRPr="00D95BF8">
        <w:t xml:space="preserve"> state income tax return, or the amount of expenses attributable to the location as a cost center of the business. Manufacturers include those taxpayers reporting a manufacturing principal business activity code on their respective federal income tax return. The adjusted gross income for business license purposes may be verified by a taxing jurisdiction’s officials by its inspection of returns and reports filed with the Internal Revenue Service, the South Carolina Department of Revenue, or other governmental agencies. Gross income for business license tax purposes may not include taxes collected for a governmental entity, escrow funds, or funds that are the property of a third party. The value of bartered goods or trade in merchandise may be included in gross income. The gross receipts or gross revenues for business license purposes may be verified by inspection of returns and reports filed with the Internal Revenue Service, the South Carolina Department of Revenue, the South Carolina Department of Insurance, or other governmental agencies.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(C)</w:t>
      </w:r>
      <w:r w:rsidRPr="00D95BF8">
        <w:tab/>
        <w:t>Each taxing jurisdiction shall accept a standard business license application as established and provided by the Director of the Revenue and Fiscal Affairs Office.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t>(D)</w:t>
      </w:r>
      <w:r w:rsidRPr="00D95BF8">
        <w:tab/>
        <w:t>A taxpayer is entitled to a refund if he submits a business license tax payment that is greater than the amount owed. The refund must be requested by the taxpayer before June first. The taxing jurisdiction shall issue the refund to the taxpayer within thirty days of the taxpayer’s request for the refund.</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(E)(1)</w:t>
      </w:r>
      <w:r w:rsidRPr="00D95BF8">
        <w:tab/>
        <w:t>By December thirty 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A taxing jurisdiction, upon a finding of a rational basis as explained in its ordinance and by a positive majority vote of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(F)(1)</w:t>
      </w:r>
      <w:r w:rsidRPr="00D95BF8">
        <w:tab/>
        <w:t xml:space="preserve">Any special ordinance, formal agreement, or informal agreement entered into between a taxing jurisdiction and a taxpayer regarding rate classes,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This section does not impair or affect any future special business license ordinance passed for economic stimulus, annual flat fee, or any future formal or informal agreement between a taxing jurisdiction and a taxpayer regarding the calculation of business license taxes.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(G)(1)</w:t>
      </w:r>
      <w:r w:rsidRPr="00D95BF8">
        <w:tab/>
        <w:t xml:space="preserve">A taxing jurisdiction must establish its 2021 Business License Tax Rate Schedule using the gross income reported by businesses for a twelve-month period in the 2020 business license year so that the aggregate taxing jurisdiction business license tax calculated for 2021 does not exceed the aggregate taxing jurisdiction business license tax collected in 2020 from the same businesses.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t>(2)</w:t>
      </w:r>
      <w:r w:rsidRPr="00D95BF8">
        <w:tab/>
        <w:t>If the rate for an NAICS sector, subsector, or industry is unchanged from 2020 to 2021, then the business license tax collections may be excluded from the calculation set forth in item (1).</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(H)(1)</w:t>
      </w:r>
      <w:r w:rsidRPr="00D95BF8">
        <w:tab/>
        <w:t>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or by mail.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The Revenue and Fiscal Affairs Office is authorized to expend any funds carried forward from previous fiscal years for the purpose of implementing the provisions of this section. Expenditures may not exceed the actual cost of implementing the provisions of this section.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(I)(1)</w:t>
      </w:r>
      <w:r w:rsidRPr="00D95BF8">
        <w:tab/>
        <w:t xml:space="preserve">If a taxpayer fails or refuses to pay the business license tax by May first, the taxing jurisdiction business license official shall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w:t>
      </w:r>
      <w:r w:rsidRPr="00D95BF8">
        <w:lastRenderedPageBreak/>
        <w:t>receipt of the request, at which time the taxpayer may present any information or 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or its designee, or appeals board must be held at a regular or special meeting of the taxing jurisdiction council or appeals board. At the appeals hearing, the taxpayer and the taxing jurisdiction have the right to be represented by counsel, to present testimony and evidence, and to cross examine witnesses. The hearing must be recorded and must be transcribed at the expense of the party so requesting. The taxing jurisdiction council, or its designee, or appeals board shall decide the assessment by majority vote. The taxing jurisdiction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Within thirty days after the date of postmark or personal service of the taxing jurisdiction’s written decision on the assessment, a taxpayer may appeal the decision to the Administrative Law Court in accordance with the rules of the Administrative Law Court. The court may affirm, reverse, or remand the decision on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t>(J)(1)</w:t>
      </w:r>
      <w:r w:rsidRPr="00D95BF8">
        <w:tab/>
        <w:t>A taxing jurisdiction may contract by ordinance with an individual, firm, or organization to assist the taxing jurisdiction in collecting property or business license taxes. Except for business license taxes collected pursuant to Article 20, Chapter 9, Title 58 and Chapters 7 and 45, Title 38, a private third-party entity is prohibited from assessing or collecting business license taxes or requiring a business entity to remit confidential business license tax data to that private third party on behalf of a taxing jurisdiction. This subsection may not prohibit a taxing jurisdiction from contracting with a third-party entity in assisting in the collection of business license taxes. For purposes of this subsection,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providing that identification to a taxing jurisdiction. The third party also may assist the contracting taxing jurisdiction with providing, by United States official mail, the taxing jurisdiction’s business license form, along with a self</w:t>
      </w:r>
      <w:r w:rsidRPr="00D95BF8">
        <w:noBreakHyphen/>
        <w:t xml:space="preserve">addressed envelope containing the taxing jurisdiction address, to identified businesses on behalf of the taxing jurisdiction, and the third party is strictly 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It is unlawful for any individual, firm, or organization to contact a</w:t>
      </w:r>
      <w:r w:rsidR="00EC2164">
        <w:t xml:space="preserve"> business in this S</w:t>
      </w:r>
      <w:r w:rsidRPr="00D95BF8">
        <w:t>tate regarding noncompliance with a business license ordinance unless the contact is made pursuant to a contract with a taxing jurisdiction in accordance with this section.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This subsection may not prohibit a taxing jurisdiction from contracting with a third party solely for the purpose of providing payment processing services for the acceptance of business license tax payments.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(4)</w:t>
      </w:r>
      <w:r w:rsidRPr="00D95BF8">
        <w:tab/>
        <w:t xml:space="preserve">A taxing jurisdiction is prohibited from entering into a contract with a third party to assist the taxing jurisdiction in collecting property or business license taxes which includes a fee based on a percentage of taxes collected or otherwise depends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w:t>
      </w:r>
      <w:r w:rsidRPr="00D95BF8">
        <w:lastRenderedPageBreak/>
        <w:t xml:space="preserve">business license taxes by a governmental entity to a business and the failure of the business to appeal the proposed assessment in a timely manner.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(5)</w:t>
      </w:r>
      <w:r w:rsidRPr="00D95BF8">
        <w:tab/>
        <w:t>Except for business license taxes collected pursuant to Article 20, Chapter 9, Title 58 and Chapters 7 and 45, Title 38, a taxing jurisdiction may not share or disclose any information relating to business license tax applications with any third party, specifically including a private sector auditor or auditing firm who is paid on a contingency fee or success basis.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(6)</w:t>
      </w:r>
      <w:r w:rsidRPr="00D95BF8">
        <w:tab/>
        <w:t>Enforcement of this subsection is under the South Carolina Department of Consumer Affairs. Upon the finding of the South Carolina Department of Consumer Affairs of a violation of this subsection by an individual, firm, or organization, the South Carolina Department of Consumer Affairs shall award to the taxpayer bringing an action under this subsection a civil penalty equal to actual damages plus interest and reasonable attorney’s fees and costs.  A person or entity may bring a private right of action: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(a)</w:t>
      </w:r>
      <w:r w:rsidRPr="00D95BF8">
        <w:tab/>
        <w:t>based on a violation of this subsection or any regulations prescribed under this subsection to enjoin such violation;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(b)</w:t>
      </w:r>
      <w:r w:rsidRPr="00D95BF8">
        <w:tab/>
        <w:t>to recover for actual monetary loss from such a violation, or to receive five hundred dollars in damages for each violation, whichever is greater; or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(c)</w:t>
      </w:r>
      <w:r w:rsidRPr="00D95BF8">
        <w:tab/>
        <w:t>both actions described in subitems (a) and (b).</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(7)</w:t>
      </w:r>
      <w:r w:rsidRPr="00D95BF8">
        <w:tab/>
        <w:t>If the court finds that the defendant wilfully or knowingly violated this subsection or any regulations prescribed under this subsection, the court may, in its discretion, increase the amount of the award to an amount equal to no more than three times the amount available pursuant to item (6)</w:t>
      </w:r>
      <w:bookmarkStart w:id="6" w:name="temp"/>
      <w:bookmarkEnd w:id="6"/>
      <w:r w:rsidRPr="00D95BF8">
        <w:t>(B).</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1240">
        <w:t>(</w:t>
      </w:r>
      <w:r>
        <w:t>K</w:t>
      </w:r>
      <w:r w:rsidRPr="00EB1240">
        <w:t>)(1)</w:t>
      </w:r>
      <w:r w:rsidRPr="00EB1240">
        <w:tab/>
        <w:t>For purposes of this subsection: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(a)</w:t>
      </w:r>
      <w:r w:rsidRPr="00EB1240">
        <w:tab/>
        <w:t>‘</w:t>
      </w:r>
      <w:r w:rsidRPr="00EB1240">
        <w:rPr>
          <w:iCs/>
        </w:rPr>
        <w:t>Charitable Organization</w:t>
      </w:r>
      <w:r w:rsidRPr="00EB1240">
        <w:t xml:space="preserve">’ means an organization that is determined by the Internal Revenue Service to be exempt from Federal income taxes under 26 U.S.C. </w:t>
      </w:r>
      <w:r w:rsidR="00EC2164">
        <w:t>S</w:t>
      </w:r>
      <w:r w:rsidRPr="00EB1240">
        <w:t>ection 501 (c)(3), (4), (6), (7), (8), (10) or (19).</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(b)</w:t>
      </w:r>
      <w:r w:rsidRPr="00EB1240">
        <w:tab/>
        <w:t>‘</w:t>
      </w:r>
      <w:r w:rsidRPr="00EB1240">
        <w:rPr>
          <w:iCs/>
        </w:rPr>
        <w:t>Charitable Purpose</w:t>
      </w:r>
      <w:r w:rsidRPr="00EB1240">
        <w:t>’ means a benevolent, philanthropic, patriotic, or eleemosynary purpose which does not result in personal gain to a sponsor, organizer, officer, director, trustee or person with ultimate control of the organization.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(2)</w:t>
      </w:r>
      <w:r w:rsidRPr="00EB1240">
        <w:tab/>
        <w:t xml:space="preserve">A charitable organization shall be exempt from the business license tax on its gross income unless it is deemed a business subject to a business license tax on all or part of its gross income as provided in this section. A charitable organization, or any for-profit affiliate of a charitable organization, that reports income </w:t>
      </w:r>
      <w:r w:rsidRPr="00EB1240">
        <w:lastRenderedPageBreak/>
        <w:t>from for-profit activities, or unrelated business income, for federal income tax purposes to the Internal Revenue Service shall be deemed a business subject to a business license tax on the part of its gross income from such for-profit activities or unrelated business income.</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(3)</w:t>
      </w:r>
      <w:r w:rsidRPr="00EB1240">
        <w:tab/>
        <w:t>A charitable organization shall be deemed a business subject to a business license tax on its total gross income if (1) any net proceeds of operation, after necessary expenses of operation, inure to the benefit of any individual or any entity that is not itself a charitable organization as defined in this ordinance, or (2) any net proceeds of operation, after necessary expenses of operation, are used for a purpose other than a charitable purpose as defined in this ordinance. Excess benefits or compensation in any form beyond fair market value to a sponsor, organizer, officer, director, trustee, or person with ultimate control of the organization shall not be deemed a necessary expense of operation.”</w:t>
      </w: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3.</w:t>
      </w:r>
      <w:r w:rsidRPr="00D95BF8">
        <w:tab/>
        <w:t>This act takes effect January 1, 2021.</w:t>
      </w:r>
      <w:r w:rsidRPr="00D95BF8">
        <w:tab/>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6DC" w:rsidRDefault="00C236DC" w:rsidP="00C236DC">
      <w:pPr>
        <w:suppressAutoHyphens/>
      </w:pPr>
    </w:p>
    <w:sectPr w:rsidR="00C236DC"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39C5CE8-D57C-4B24-96F8-6919E44F6600}"/>
    <w:embedBold r:id="rId2" w:fontKey="{2326EA2E-C346-442A-A6F6-D1711BD59069}"/>
    <w:embedItalic r:id="rId3" w:fontKey="{B4CCAA17-F4C3-4E53-9648-2F30E062AA4D}"/>
  </w:font>
  <w:font w:name="Calibri">
    <w:panose1 w:val="020F0502020204030204"/>
    <w:charset w:val="00"/>
    <w:family w:val="swiss"/>
    <w:pitch w:val="variable"/>
    <w:sig w:usb0="E0002AFF" w:usb1="C000247B" w:usb2="00000009" w:usb3="00000000" w:csb0="000001FF" w:csb1="00000000"/>
    <w:embedRegular r:id="rId4" w:fontKey="{D00F5A6C-F735-430E-86BC-B7C2FCB96723}"/>
  </w:font>
  <w:font w:name="Segoe UI">
    <w:panose1 w:val="020B0502040204020203"/>
    <w:charset w:val="00"/>
    <w:family w:val="swiss"/>
    <w:pitch w:val="variable"/>
    <w:sig w:usb0="E4002EFF" w:usb1="C000E47F" w:usb2="00000009" w:usb3="00000000" w:csb0="000001FF" w:csb1="00000000"/>
    <w:embedRegular r:id="rId5" w:fontKey="{ED00FD1C-4E28-4AA7-86B2-5E2C5448056F}"/>
  </w:font>
  <w:font w:name="Cambria">
    <w:panose1 w:val="02040503050406030204"/>
    <w:charset w:val="00"/>
    <w:family w:val="roman"/>
    <w:pitch w:val="variable"/>
    <w:sig w:usb0="E00006FF" w:usb1="420024FF" w:usb2="02000000" w:usb3="00000000" w:csb0="0000019F" w:csb1="00000000"/>
    <w:embedRegular r:id="rId6" w:fontKey="{4F6D4961-8458-453C-8714-C764ED91C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C236DC">
      <w:rPr>
        <w:noProof/>
      </w:rPr>
      <w:t>1</w:t>
    </w:r>
    <w:r w:rsidR="00B168F9">
      <w:fldChar w:fldCharType="end"/>
    </w:r>
    <w:r w:rsidR="00B168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C236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A7D1E"/>
    <w:rsid w:val="002E5912"/>
    <w:rsid w:val="00301B21"/>
    <w:rsid w:val="00325348"/>
    <w:rsid w:val="0032732C"/>
    <w:rsid w:val="00336AD0"/>
    <w:rsid w:val="0037079A"/>
    <w:rsid w:val="00373A4D"/>
    <w:rsid w:val="003C4DAB"/>
    <w:rsid w:val="003D01E8"/>
    <w:rsid w:val="003D5C17"/>
    <w:rsid w:val="003E5288"/>
    <w:rsid w:val="003F6D79"/>
    <w:rsid w:val="0041760A"/>
    <w:rsid w:val="00417C01"/>
    <w:rsid w:val="004403BD"/>
    <w:rsid w:val="004443DC"/>
    <w:rsid w:val="00461441"/>
    <w:rsid w:val="004809EE"/>
    <w:rsid w:val="004E7D54"/>
    <w:rsid w:val="005273C6"/>
    <w:rsid w:val="00530A69"/>
    <w:rsid w:val="00545593"/>
    <w:rsid w:val="00556EBF"/>
    <w:rsid w:val="0056546C"/>
    <w:rsid w:val="00577C6C"/>
    <w:rsid w:val="005A62FE"/>
    <w:rsid w:val="005C2FE2"/>
    <w:rsid w:val="005E2BC9"/>
    <w:rsid w:val="00605102"/>
    <w:rsid w:val="006215AA"/>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4B17"/>
    <w:rsid w:val="00B168F9"/>
    <w:rsid w:val="00B412D4"/>
    <w:rsid w:val="00BE3C22"/>
    <w:rsid w:val="00C0345E"/>
    <w:rsid w:val="00C236DC"/>
    <w:rsid w:val="00C31C95"/>
    <w:rsid w:val="00C3483A"/>
    <w:rsid w:val="00C3798E"/>
    <w:rsid w:val="00C74E9D"/>
    <w:rsid w:val="00C826DD"/>
    <w:rsid w:val="00C82FD3"/>
    <w:rsid w:val="00C92819"/>
    <w:rsid w:val="00CC6B7B"/>
    <w:rsid w:val="00CD2089"/>
    <w:rsid w:val="00D73A67"/>
    <w:rsid w:val="00D970A9"/>
    <w:rsid w:val="00DF3845"/>
    <w:rsid w:val="00E41911"/>
    <w:rsid w:val="00E44B57"/>
    <w:rsid w:val="00E92EEF"/>
    <w:rsid w:val="00EC2164"/>
    <w:rsid w:val="00EE0F19"/>
    <w:rsid w:val="00EF2368"/>
    <w:rsid w:val="00F24442"/>
    <w:rsid w:val="00F509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54320-5F39-40E4-8138-51CC9F322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25776610</Template>
  <TotalTime>0</TotalTime>
  <Pages>10</Pages>
  <Words>3345</Words>
  <Characters>17814</Characters>
  <Application>Microsoft Office Word</Application>
  <DocSecurity>0</DocSecurity>
  <Lines>374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(Feb. 27, 2020) - South Carolina Legislature Online</dc:title>
  <dc:creator>Rebecca Turner</dc:creator>
  <cp:lastModifiedBy>Lavarres Lynch</cp:lastModifiedBy>
  <cp:revision>2</cp:revision>
  <cp:lastPrinted>2019-04-09T16:55:00Z</cp:lastPrinted>
  <dcterms:created xsi:type="dcterms:W3CDTF">2020-02-27T15:28:00Z</dcterms:created>
  <dcterms:modified xsi:type="dcterms:W3CDTF">2020-02-27T15:28:00Z</dcterms:modified>
</cp:coreProperties>
</file>