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4A3" w:rsidRDefault="00F374A3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09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D40377">
        <w:rPr>
          <w:color w:val="000000" w:themeColor="text1"/>
          <w:u w:color="000000" w:themeColor="text1"/>
        </w:rPr>
        <w:t>TO AMEND THE CODE OF LAWS OF SOUTH CAROLINA, 1976, BY ADDING SECTION 38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71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45 SO AS TO REQUIRE HEALTH MAINTENANCE ORGANIZATIONS, INDIVIDUAL AND GROUP HEALTH INSURANCE POLICIES, AND INSURANCE CONTRACTS ISSUED AFTER JANUARY 1, 2021, TO PROVIDE COVERAGE FOR EPINEPHRINE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INJECTOR DEVICES; AND TO AMEND SECTION 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11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710, RELATING TO THE PUBLIC EMPLOYEE BENEFIT AUTHORITY</w:t>
      </w:r>
      <w:r w:rsidR="009D6FA7" w:rsidRPr="009D6FA7">
        <w:rPr>
          <w:color w:val="000000" w:themeColor="text1"/>
          <w:u w:color="000000" w:themeColor="text1"/>
        </w:rPr>
        <w:t>’</w:t>
      </w:r>
      <w:r w:rsidRPr="00D40377">
        <w:rPr>
          <w:color w:val="000000" w:themeColor="text1"/>
          <w:u w:color="000000" w:themeColor="text1"/>
        </w:rPr>
        <w:t>S DUTY TO MAKE CERTAIN INSURANCE PLANS AVAILABLE, SO AS TO REQUIRE THE GROUP HEALTH PLAN TO COVER EPINEPHRINE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 xml:space="preserve">INJECTOR DEVICES. </w:t>
      </w:r>
      <w:bookmarkStart w:id="4" w:name="titleend"/>
      <w:bookmarkEnd w:id="4"/>
    </w:p>
    <w:p w:rsidR="003F6B6D" w:rsidRDefault="003F6B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9C9" w:rsidRDefault="0074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09C9" w:rsidRDefault="0074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B6D" w:rsidRPr="00D40377" w:rsidRDefault="009D6FA7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="003F6B6D" w:rsidRPr="00D40377">
        <w:rPr>
          <w:color w:val="000000" w:themeColor="text1"/>
          <w:u w:color="000000" w:themeColor="text1"/>
        </w:rPr>
        <w:t xml:space="preserve">Article 1, Chapter 71, Title 38 of the 1976 Code is amended by adding: 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0377">
        <w:rPr>
          <w:color w:val="000000" w:themeColor="text1"/>
          <w:u w:color="000000" w:themeColor="text1"/>
        </w:rPr>
        <w:tab/>
        <w:t>“Section 38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71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>Beginning January 1, 2021, every health maintenance organization, individual and group health insurance policy, or insurance contract issued or renewed in this State must provide coverage for an epinephrine injector.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 xml:space="preserve">For the purposes of this section, the term </w:t>
      </w:r>
      <w:r w:rsidR="009D6FA7" w:rsidRPr="009D6FA7">
        <w:rPr>
          <w:color w:val="000000" w:themeColor="text1"/>
          <w:u w:color="000000" w:themeColor="text1"/>
        </w:rPr>
        <w:t>‘</w:t>
      </w:r>
      <w:r w:rsidRPr="00D40377">
        <w:rPr>
          <w:color w:val="000000" w:themeColor="text1"/>
          <w:u w:color="000000" w:themeColor="text1"/>
        </w:rPr>
        <w:t>epinephrine injector</w:t>
      </w:r>
      <w:r w:rsidR="009D6FA7" w:rsidRPr="009D6FA7">
        <w:rPr>
          <w:color w:val="000000" w:themeColor="text1"/>
          <w:u w:color="000000" w:themeColor="text1"/>
        </w:rPr>
        <w:t>’</w:t>
      </w:r>
      <w:r w:rsidRPr="00D40377">
        <w:rPr>
          <w:color w:val="000000" w:themeColor="text1"/>
          <w:u w:color="000000" w:themeColor="text1"/>
        </w:rPr>
        <w:t xml:space="preserve"> includes an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injector approved by the Federal Food and Drug Administration for the administration of epinephrine or a prefilled syringe approved by the Federal Food and Drug Administration for the administration of epinephrine containing a premeasured dose of epinephrine that is equivalent to the dosage used in an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 xml:space="preserve">injector.” 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0377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>2.</w:t>
      </w:r>
      <w:r w:rsidRPr="00D40377">
        <w:rPr>
          <w:color w:val="000000" w:themeColor="text1"/>
          <w:u w:color="000000" w:themeColor="text1"/>
        </w:rPr>
        <w:tab/>
        <w:t>Section 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11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 xml:space="preserve">710 of the 1976 Code is amended by adding an appropriately lettered subsection to read: 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0377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  )(1)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 xml:space="preserve">Beginning January 1, 2021, the plan approved by the board must provide coverage for </w:t>
      </w:r>
      <w:r w:rsidR="009D6FA7">
        <w:rPr>
          <w:color w:val="000000" w:themeColor="text1"/>
          <w:u w:color="000000" w:themeColor="text1"/>
        </w:rPr>
        <w:t xml:space="preserve">an epinephrine </w:t>
      </w:r>
      <w:r w:rsidRPr="00D40377">
        <w:rPr>
          <w:color w:val="000000" w:themeColor="text1"/>
          <w:u w:color="000000" w:themeColor="text1"/>
        </w:rPr>
        <w:t>injector.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 xml:space="preserve">For the purposes of this section, the term </w:t>
      </w:r>
      <w:r w:rsidR="009D6FA7" w:rsidRPr="009D6FA7">
        <w:rPr>
          <w:color w:val="000000" w:themeColor="text1"/>
          <w:u w:color="000000" w:themeColor="text1"/>
        </w:rPr>
        <w:t>‘</w:t>
      </w:r>
      <w:r w:rsidRPr="00D40377">
        <w:rPr>
          <w:color w:val="000000" w:themeColor="text1"/>
          <w:u w:color="000000" w:themeColor="text1"/>
        </w:rPr>
        <w:t>epinephrine injector</w:t>
      </w:r>
      <w:r w:rsidR="009D6FA7" w:rsidRPr="009D6FA7">
        <w:rPr>
          <w:color w:val="000000" w:themeColor="text1"/>
          <w:u w:color="000000" w:themeColor="text1"/>
        </w:rPr>
        <w:t>’</w:t>
      </w:r>
      <w:r w:rsidRPr="00D40377">
        <w:rPr>
          <w:color w:val="000000" w:themeColor="text1"/>
          <w:u w:color="000000" w:themeColor="text1"/>
        </w:rPr>
        <w:t xml:space="preserve"> includes an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injector approved by the Federal Food and Drug Administration for the administration of epinephrine or a prefilled syringe approved by the Federal Food and Drug Administration for the administration of epinephrine containing a premeasured dose of epinephrine that is equivalent to the dosage used in an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injector.”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>3.</w:t>
      </w:r>
      <w:r w:rsidRPr="00D40377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835DE2" w:rsidRDefault="009D6F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74A3" w:rsidRDefault="00F374A3" w:rsidP="00F374A3">
      <w:pPr>
        <w:suppressAutoHyphens/>
      </w:pPr>
    </w:p>
    <w:sectPr w:rsidR="00F374A3" w:rsidSect="00F374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9C9" w:rsidRDefault="007409C9" w:rsidP="009F0C77">
      <w:r>
        <w:separator/>
      </w:r>
    </w:p>
  </w:endnote>
  <w:endnote w:type="continuationSeparator" w:id="0">
    <w:p w:rsidR="007409C9" w:rsidRDefault="007409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CAA1F9-9D33-4786-9A0E-28C6C1A69086}"/>
    <w:embedBold r:id="rId2" w:fontKey="{59DD1CEB-FB31-49FC-BB10-71C77A42B8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AAE567-D1D5-464C-A9BA-0805DB12C0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E24360-6308-49FF-8931-781CE30495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A9E339-1E30-41C0-A318-E6502DDB0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E2" w:rsidRPr="00F374A3" w:rsidRDefault="00F374A3" w:rsidP="00F374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9C9" w:rsidRDefault="007409C9" w:rsidP="009F0C77">
      <w:r>
        <w:separator/>
      </w:r>
    </w:p>
  </w:footnote>
  <w:footnote w:type="continuationSeparator" w:id="0">
    <w:p w:rsidR="007409C9" w:rsidRDefault="007409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0CZ20"/>
    <w:docVar w:name="CoverBillType" w:val="b"/>
    <w:docVar w:name="DocPath" w:val="L:\Council\bills\JN\3130CZ20.DOCX"/>
    <w:docVar w:name="dvBillNumber" w:val="473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409C9"/>
    <w:rsid w:val="00011869"/>
    <w:rsid w:val="00015CD6"/>
    <w:rsid w:val="000423E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B6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04E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09C9"/>
    <w:rsid w:val="007A70AE"/>
    <w:rsid w:val="007C3B32"/>
    <w:rsid w:val="007F51AF"/>
    <w:rsid w:val="008017AA"/>
    <w:rsid w:val="00835DE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6FA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1EC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695F"/>
    <w:rsid w:val="00F24442"/>
    <w:rsid w:val="00F374A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A6F62A-352A-4F2C-92DF-C9D396B6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1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1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80CFA-DD1B-413C-BD1D-D5A6608BD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2</Pages>
  <Words>308</Words>
  <Characters>1712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4735 Text of Previous Version (Nov. 20, 2019) - South Carolina Legislature Online</dc:title>
  <dc:creator>Julie Newboult</dc:creator>
  <cp:lastModifiedBy>S Wilson</cp:lastModifiedBy>
  <cp:revision>2</cp:revision>
  <cp:lastPrinted>2019-11-18T19:34:00Z</cp:lastPrinted>
  <dcterms:created xsi:type="dcterms:W3CDTF">2019-11-20T21:34:00Z</dcterms:created>
  <dcterms:modified xsi:type="dcterms:W3CDTF">2019-11-20T21:34:00Z</dcterms:modified>
</cp:coreProperties>
</file>