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79B8" w:rsidRDefault="001E79B8" w:rsidP="0056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665D1" w:rsidRDefault="005665D1" w:rsidP="0056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5D1" w:rsidRDefault="005665D1" w:rsidP="0056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5D1" w:rsidRDefault="005665D1" w:rsidP="0056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5D1" w:rsidRDefault="005665D1" w:rsidP="0056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5D1" w:rsidRDefault="005665D1" w:rsidP="0056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5D1" w:rsidRDefault="005665D1" w:rsidP="0056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7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61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56558">
        <w:rPr>
          <w:color w:val="000000" w:themeColor="text1"/>
          <w:u w:color="000000" w:themeColor="text1"/>
        </w:rPr>
        <w:t>TO AMEND THE CODE OF LAWS OF SOUTH CAROLINA, 1976, BY ADDING SECTION 17</w:t>
      </w:r>
      <w:r w:rsidR="00620F47">
        <w:rPr>
          <w:color w:val="000000" w:themeColor="text1"/>
          <w:u w:color="000000" w:themeColor="text1"/>
        </w:rPr>
        <w:noBreakHyphen/>
      </w:r>
      <w:r w:rsidRPr="00C56558">
        <w:rPr>
          <w:color w:val="000000" w:themeColor="text1"/>
          <w:u w:color="000000" w:themeColor="text1"/>
        </w:rPr>
        <w:t>1</w:t>
      </w:r>
      <w:r w:rsidR="00620F47">
        <w:rPr>
          <w:color w:val="000000" w:themeColor="text1"/>
          <w:u w:color="000000" w:themeColor="text1"/>
        </w:rPr>
        <w:noBreakHyphen/>
      </w:r>
      <w:r w:rsidRPr="00C56558">
        <w:rPr>
          <w:color w:val="000000" w:themeColor="text1"/>
          <w:u w:color="000000" w:themeColor="text1"/>
        </w:rPr>
        <w:t>70 SO AS TO ALLOW PERSONS CHARGED WITH SPECIFIC OFFENSES TO PETITION TO HAVE THEIR CHARGES DISMISSED IF THEY HAVE NOT BEEN ADJUDICATED OR OTHERWISE DISMISSED AFTER A PERIOD OF TIME AND OTHER DELINEATED CONDITIONS ARE MET, AND TO PROVIDE PROCEDURES FOR THE DESTRUCTION OF THE RECORDS.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614A" w:rsidRDefault="009C61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614A" w:rsidRDefault="009C61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558">
        <w:rPr>
          <w:color w:val="000000" w:themeColor="text1"/>
          <w:u w:color="000000" w:themeColor="text1"/>
        </w:rPr>
        <w:t>SECTION</w:t>
      </w:r>
      <w:r w:rsidRPr="00C56558">
        <w:rPr>
          <w:color w:val="000000" w:themeColor="text1"/>
          <w:u w:color="000000" w:themeColor="text1"/>
        </w:rPr>
        <w:tab/>
        <w:t>1.</w:t>
      </w:r>
      <w:r w:rsidRPr="00C56558">
        <w:rPr>
          <w:color w:val="000000" w:themeColor="text1"/>
          <w:u w:color="000000" w:themeColor="text1"/>
        </w:rPr>
        <w:tab/>
        <w:t>Chapter 1, Title 17 of the 1976 Code is amended by adding:</w:t>
      </w: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558">
        <w:rPr>
          <w:color w:val="000000" w:themeColor="text1"/>
          <w:u w:color="000000" w:themeColor="text1"/>
        </w:rPr>
        <w:tab/>
        <w:t>“Section 17</w:t>
      </w:r>
      <w:r w:rsidR="00620F47">
        <w:rPr>
          <w:color w:val="000000" w:themeColor="text1"/>
          <w:u w:color="000000" w:themeColor="text1"/>
        </w:rPr>
        <w:noBreakHyphen/>
      </w:r>
      <w:r w:rsidRPr="00C56558">
        <w:rPr>
          <w:color w:val="000000" w:themeColor="text1"/>
          <w:u w:color="000000" w:themeColor="text1"/>
        </w:rPr>
        <w:t>1</w:t>
      </w:r>
      <w:r w:rsidR="00620F47">
        <w:rPr>
          <w:color w:val="000000" w:themeColor="text1"/>
          <w:u w:color="000000" w:themeColor="text1"/>
        </w:rPr>
        <w:noBreakHyphen/>
      </w:r>
      <w:r w:rsidRPr="00C56558">
        <w:rPr>
          <w:color w:val="000000" w:themeColor="text1"/>
          <w:u w:color="000000" w:themeColor="text1"/>
        </w:rPr>
        <w:t>70.</w:t>
      </w:r>
      <w:r w:rsidRPr="00C56558">
        <w:rPr>
          <w:color w:val="000000" w:themeColor="text1"/>
          <w:u w:color="000000" w:themeColor="text1"/>
        </w:rPr>
        <w:tab/>
        <w:t>(A)</w:t>
      </w:r>
      <w:r>
        <w:rPr>
          <w:color w:val="000000" w:themeColor="text1"/>
          <w:u w:color="000000" w:themeColor="text1"/>
        </w:rPr>
        <w:tab/>
      </w:r>
      <w:r w:rsidRPr="00C56558">
        <w:rPr>
          <w:color w:val="000000" w:themeColor="text1"/>
          <w:u w:color="000000" w:themeColor="text1"/>
        </w:rPr>
        <w:t xml:space="preserve">A person charged with an offense listed in subsection (B) may petition the </w:t>
      </w:r>
      <w:r w:rsidR="001F028D">
        <w:rPr>
          <w:color w:val="000000" w:themeColor="text1"/>
          <w:u w:color="000000" w:themeColor="text1"/>
        </w:rPr>
        <w:t>s</w:t>
      </w:r>
      <w:r w:rsidRPr="00C56558">
        <w:rPr>
          <w:color w:val="000000" w:themeColor="text1"/>
          <w:u w:color="000000" w:themeColor="text1"/>
        </w:rPr>
        <w:t>olicitor in the county in which the alleged offense occurred for dismissal of the alleged offense that has not been adjudicated by trial or guilty plea, or otherwise dispo</w:t>
      </w:r>
      <w:r w:rsidR="007A5BC3">
        <w:rPr>
          <w:color w:val="000000" w:themeColor="text1"/>
          <w:u w:color="000000" w:themeColor="text1"/>
        </w:rPr>
        <w:t xml:space="preserve">sed of or dismissed, after five </w:t>
      </w:r>
      <w:r w:rsidRPr="00C56558">
        <w:rPr>
          <w:color w:val="000000" w:themeColor="text1"/>
          <w:u w:color="000000" w:themeColor="text1"/>
        </w:rPr>
        <w:t>years from the date he was charged with the offense.</w:t>
      </w:r>
      <w:r w:rsidR="00AD6184">
        <w:rPr>
          <w:color w:val="000000" w:themeColor="text1"/>
          <w:u w:color="000000" w:themeColor="text1"/>
        </w:rPr>
        <w:t xml:space="preserve"> </w:t>
      </w:r>
      <w:r w:rsidRPr="00C56558">
        <w:rPr>
          <w:color w:val="000000" w:themeColor="text1"/>
          <w:u w:color="000000" w:themeColor="text1"/>
        </w:rPr>
        <w:t xml:space="preserve">If the petitioner has no other pending charges unrelated to the subject charge and no criminal convictions subsequent to the alleged offense, the </w:t>
      </w:r>
      <w:r w:rsidR="001F028D">
        <w:rPr>
          <w:color w:val="000000" w:themeColor="text1"/>
          <w:u w:color="000000" w:themeColor="text1"/>
        </w:rPr>
        <w:t>s</w:t>
      </w:r>
      <w:r w:rsidRPr="00C56558">
        <w:rPr>
          <w:color w:val="000000" w:themeColor="text1"/>
          <w:u w:color="000000" w:themeColor="text1"/>
        </w:rPr>
        <w:t>olicitor must approve the dismissal of the offense charged and must do so within thirty days of receipt of the petition for dismissal.</w:t>
      </w:r>
      <w:r w:rsidR="00AD6184">
        <w:rPr>
          <w:color w:val="000000" w:themeColor="text1"/>
          <w:u w:color="000000" w:themeColor="text1"/>
        </w:rPr>
        <w:t xml:space="preserve"> </w:t>
      </w:r>
      <w:r w:rsidRPr="00C56558">
        <w:rPr>
          <w:color w:val="000000" w:themeColor="text1"/>
          <w:u w:color="000000" w:themeColor="text1"/>
        </w:rPr>
        <w:t xml:space="preserve"> </w:t>
      </w: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558">
        <w:rPr>
          <w:color w:val="000000" w:themeColor="text1"/>
          <w:u w:color="000000" w:themeColor="text1"/>
        </w:rPr>
        <w:tab/>
        <w:t>(B)</w:t>
      </w:r>
      <w:r w:rsidRPr="00C56558">
        <w:rPr>
          <w:color w:val="000000" w:themeColor="text1"/>
          <w:u w:color="000000" w:themeColor="text1"/>
        </w:rPr>
        <w:tab/>
        <w:t>The following offenses are eligible for dismissal pursuant to the provisions of subsection (A):</w:t>
      </w: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558">
        <w:rPr>
          <w:color w:val="000000" w:themeColor="text1"/>
          <w:u w:color="000000" w:themeColor="text1"/>
        </w:rPr>
        <w:tab/>
      </w:r>
      <w:r w:rsidRPr="00C56558">
        <w:rPr>
          <w:color w:val="000000" w:themeColor="text1"/>
          <w:u w:color="000000" w:themeColor="text1"/>
        </w:rPr>
        <w:tab/>
        <w:t>(1)</w:t>
      </w:r>
      <w:r w:rsidRPr="00C56558">
        <w:rPr>
          <w:color w:val="000000" w:themeColor="text1"/>
          <w:u w:color="000000" w:themeColor="text1"/>
        </w:rPr>
        <w:tab/>
        <w:t>simple assault or assault and battery in the third degree pursuant to Section 16</w:t>
      </w:r>
      <w:r w:rsidR="00620F47">
        <w:rPr>
          <w:color w:val="000000" w:themeColor="text1"/>
          <w:u w:color="000000" w:themeColor="text1"/>
        </w:rPr>
        <w:noBreakHyphen/>
      </w:r>
      <w:r w:rsidRPr="00C56558">
        <w:rPr>
          <w:color w:val="000000" w:themeColor="text1"/>
          <w:u w:color="000000" w:themeColor="text1"/>
        </w:rPr>
        <w:t>3</w:t>
      </w:r>
      <w:r w:rsidR="00620F47">
        <w:rPr>
          <w:color w:val="000000" w:themeColor="text1"/>
          <w:u w:color="000000" w:themeColor="text1"/>
        </w:rPr>
        <w:noBreakHyphen/>
      </w:r>
      <w:r w:rsidRPr="00C56558">
        <w:rPr>
          <w:color w:val="000000" w:themeColor="text1"/>
          <w:u w:color="000000" w:themeColor="text1"/>
        </w:rPr>
        <w:t>600(E);</w:t>
      </w: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558">
        <w:rPr>
          <w:color w:val="000000" w:themeColor="text1"/>
          <w:u w:color="000000" w:themeColor="text1"/>
        </w:rPr>
        <w:tab/>
      </w:r>
      <w:r w:rsidRPr="00C56558">
        <w:rPr>
          <w:color w:val="000000" w:themeColor="text1"/>
          <w:u w:color="000000" w:themeColor="text1"/>
        </w:rPr>
        <w:tab/>
        <w:t>(2)</w:t>
      </w:r>
      <w:r w:rsidRPr="00C56558">
        <w:rPr>
          <w:color w:val="000000" w:themeColor="text1"/>
          <w:u w:color="000000" w:themeColor="text1"/>
        </w:rPr>
        <w:tab/>
        <w:t>public intoxication or disorderly conduct pursuant to Section 16</w:t>
      </w:r>
      <w:r w:rsidR="00620F47">
        <w:rPr>
          <w:color w:val="000000" w:themeColor="text1"/>
          <w:u w:color="000000" w:themeColor="text1"/>
        </w:rPr>
        <w:noBreakHyphen/>
      </w:r>
      <w:r w:rsidRPr="00C56558">
        <w:rPr>
          <w:color w:val="000000" w:themeColor="text1"/>
          <w:u w:color="000000" w:themeColor="text1"/>
        </w:rPr>
        <w:t>17</w:t>
      </w:r>
      <w:r w:rsidR="00620F47">
        <w:rPr>
          <w:color w:val="000000" w:themeColor="text1"/>
          <w:u w:color="000000" w:themeColor="text1"/>
        </w:rPr>
        <w:noBreakHyphen/>
      </w:r>
      <w:r w:rsidRPr="00C56558">
        <w:rPr>
          <w:color w:val="000000" w:themeColor="text1"/>
          <w:u w:color="000000" w:themeColor="text1"/>
        </w:rPr>
        <w:t xml:space="preserve">530; </w:t>
      </w: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558">
        <w:rPr>
          <w:color w:val="000000" w:themeColor="text1"/>
          <w:u w:color="000000" w:themeColor="text1"/>
        </w:rPr>
        <w:lastRenderedPageBreak/>
        <w:tab/>
      </w:r>
      <w:r w:rsidRPr="00C56558">
        <w:rPr>
          <w:color w:val="000000" w:themeColor="text1"/>
          <w:u w:color="000000" w:themeColor="text1"/>
        </w:rPr>
        <w:tab/>
        <w:t>(3)</w:t>
      </w:r>
      <w:r w:rsidRPr="00C56558">
        <w:rPr>
          <w:color w:val="000000" w:themeColor="text1"/>
          <w:u w:color="000000" w:themeColor="text1"/>
        </w:rPr>
        <w:tab/>
        <w:t>breach of trust with fraudulent intent pursuant to Section 16</w:t>
      </w:r>
      <w:r w:rsidR="00620F47">
        <w:rPr>
          <w:color w:val="000000" w:themeColor="text1"/>
          <w:u w:color="000000" w:themeColor="text1"/>
        </w:rPr>
        <w:noBreakHyphen/>
      </w:r>
      <w:r w:rsidRPr="00C56558">
        <w:rPr>
          <w:color w:val="000000" w:themeColor="text1"/>
          <w:u w:color="000000" w:themeColor="text1"/>
        </w:rPr>
        <w:t>13</w:t>
      </w:r>
      <w:r w:rsidR="00620F47">
        <w:rPr>
          <w:color w:val="000000" w:themeColor="text1"/>
          <w:u w:color="000000" w:themeColor="text1"/>
        </w:rPr>
        <w:noBreakHyphen/>
      </w:r>
      <w:r w:rsidRPr="00C56558">
        <w:rPr>
          <w:color w:val="000000" w:themeColor="text1"/>
          <w:u w:color="000000" w:themeColor="text1"/>
        </w:rPr>
        <w:t>230(1);</w:t>
      </w: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558">
        <w:rPr>
          <w:color w:val="000000" w:themeColor="text1"/>
          <w:u w:color="000000" w:themeColor="text1"/>
        </w:rPr>
        <w:tab/>
      </w:r>
      <w:r w:rsidRPr="00C56558">
        <w:rPr>
          <w:color w:val="000000" w:themeColor="text1"/>
          <w:u w:color="000000" w:themeColor="text1"/>
        </w:rPr>
        <w:tab/>
        <w:t>(4)</w:t>
      </w:r>
      <w:r w:rsidRPr="00C56558">
        <w:rPr>
          <w:color w:val="000000" w:themeColor="text1"/>
          <w:u w:color="000000" w:themeColor="text1"/>
        </w:rPr>
        <w:tab/>
        <w:t>open container in a motor vehicle pursuant to Section 61</w:t>
      </w:r>
      <w:r w:rsidR="00620F47">
        <w:rPr>
          <w:color w:val="000000" w:themeColor="text1"/>
          <w:u w:color="000000" w:themeColor="text1"/>
        </w:rPr>
        <w:noBreakHyphen/>
      </w:r>
      <w:r w:rsidRPr="00C56558">
        <w:rPr>
          <w:color w:val="000000" w:themeColor="text1"/>
          <w:u w:color="000000" w:themeColor="text1"/>
        </w:rPr>
        <w:t>4</w:t>
      </w:r>
      <w:r w:rsidR="00620F47">
        <w:rPr>
          <w:color w:val="000000" w:themeColor="text1"/>
          <w:u w:color="000000" w:themeColor="text1"/>
        </w:rPr>
        <w:noBreakHyphen/>
      </w:r>
      <w:r w:rsidRPr="00C56558">
        <w:rPr>
          <w:color w:val="000000" w:themeColor="text1"/>
          <w:u w:color="000000" w:themeColor="text1"/>
        </w:rPr>
        <w:t>110;</w:t>
      </w: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558">
        <w:rPr>
          <w:color w:val="000000" w:themeColor="text1"/>
          <w:u w:color="000000" w:themeColor="text1"/>
        </w:rPr>
        <w:tab/>
      </w:r>
      <w:r w:rsidRPr="00C56558">
        <w:rPr>
          <w:color w:val="000000" w:themeColor="text1"/>
          <w:u w:color="000000" w:themeColor="text1"/>
        </w:rPr>
        <w:tab/>
        <w:t>(5)</w:t>
      </w:r>
      <w:r w:rsidRPr="00C56558">
        <w:rPr>
          <w:color w:val="000000" w:themeColor="text1"/>
          <w:u w:color="000000" w:themeColor="text1"/>
        </w:rPr>
        <w:tab/>
        <w:t>trespassing pursuant to Section 16</w:t>
      </w:r>
      <w:r w:rsidR="00620F47">
        <w:rPr>
          <w:color w:val="000000" w:themeColor="text1"/>
          <w:u w:color="000000" w:themeColor="text1"/>
        </w:rPr>
        <w:noBreakHyphen/>
      </w:r>
      <w:r w:rsidRPr="00C56558">
        <w:rPr>
          <w:color w:val="000000" w:themeColor="text1"/>
          <w:u w:color="000000" w:themeColor="text1"/>
        </w:rPr>
        <w:t>11</w:t>
      </w:r>
      <w:r w:rsidR="00620F47">
        <w:rPr>
          <w:color w:val="000000" w:themeColor="text1"/>
          <w:u w:color="000000" w:themeColor="text1"/>
        </w:rPr>
        <w:noBreakHyphen/>
      </w:r>
      <w:r w:rsidRPr="00C56558">
        <w:rPr>
          <w:color w:val="000000" w:themeColor="text1"/>
          <w:u w:color="000000" w:themeColor="text1"/>
        </w:rPr>
        <w:t>600;</w:t>
      </w: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558">
        <w:rPr>
          <w:color w:val="000000" w:themeColor="text1"/>
          <w:u w:color="000000" w:themeColor="text1"/>
        </w:rPr>
        <w:tab/>
      </w:r>
      <w:r w:rsidRPr="00C56558">
        <w:rPr>
          <w:color w:val="000000" w:themeColor="text1"/>
          <w:u w:color="000000" w:themeColor="text1"/>
        </w:rPr>
        <w:tab/>
        <w:t>(6)</w:t>
      </w:r>
      <w:r w:rsidRPr="00C56558">
        <w:rPr>
          <w:color w:val="000000" w:themeColor="text1"/>
          <w:u w:color="000000" w:themeColor="text1"/>
        </w:rPr>
        <w:tab/>
        <w:t>misdemeanor drawing or uttering a fraudulent check pursuant to Sections 34</w:t>
      </w:r>
      <w:r w:rsidR="00620F47">
        <w:rPr>
          <w:color w:val="000000" w:themeColor="text1"/>
          <w:u w:color="000000" w:themeColor="text1"/>
        </w:rPr>
        <w:noBreakHyphen/>
      </w:r>
      <w:r w:rsidRPr="00C56558">
        <w:rPr>
          <w:color w:val="000000" w:themeColor="text1"/>
          <w:u w:color="000000" w:themeColor="text1"/>
        </w:rPr>
        <w:t>11</w:t>
      </w:r>
      <w:r w:rsidR="00620F47">
        <w:rPr>
          <w:color w:val="000000" w:themeColor="text1"/>
          <w:u w:color="000000" w:themeColor="text1"/>
        </w:rPr>
        <w:noBreakHyphen/>
      </w:r>
      <w:r w:rsidRPr="00C56558">
        <w:rPr>
          <w:color w:val="000000" w:themeColor="text1"/>
          <w:u w:color="000000" w:themeColor="text1"/>
        </w:rPr>
        <w:t>60 and 34</w:t>
      </w:r>
      <w:r w:rsidR="00620F47">
        <w:rPr>
          <w:color w:val="000000" w:themeColor="text1"/>
          <w:u w:color="000000" w:themeColor="text1"/>
        </w:rPr>
        <w:noBreakHyphen/>
      </w:r>
      <w:r w:rsidRPr="00C56558">
        <w:rPr>
          <w:color w:val="000000" w:themeColor="text1"/>
          <w:u w:color="000000" w:themeColor="text1"/>
        </w:rPr>
        <w:t>11</w:t>
      </w:r>
      <w:r w:rsidR="00620F47">
        <w:rPr>
          <w:color w:val="000000" w:themeColor="text1"/>
          <w:u w:color="000000" w:themeColor="text1"/>
        </w:rPr>
        <w:noBreakHyphen/>
      </w:r>
      <w:r w:rsidRPr="00C56558">
        <w:rPr>
          <w:color w:val="000000" w:themeColor="text1"/>
          <w:u w:color="000000" w:themeColor="text1"/>
        </w:rPr>
        <w:t xml:space="preserve">90; </w:t>
      </w: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558">
        <w:rPr>
          <w:color w:val="000000" w:themeColor="text1"/>
          <w:u w:color="000000" w:themeColor="text1"/>
        </w:rPr>
        <w:tab/>
      </w:r>
      <w:r w:rsidRPr="00C56558">
        <w:rPr>
          <w:color w:val="000000" w:themeColor="text1"/>
          <w:u w:color="000000" w:themeColor="text1"/>
        </w:rPr>
        <w:tab/>
        <w:t>(7)</w:t>
      </w:r>
      <w:r w:rsidRPr="00C56558">
        <w:rPr>
          <w:color w:val="000000" w:themeColor="text1"/>
          <w:u w:color="000000" w:themeColor="text1"/>
        </w:rPr>
        <w:tab/>
        <w:t>misdemeanor shoplifting pursuant to Section 16</w:t>
      </w:r>
      <w:r w:rsidR="00620F47">
        <w:rPr>
          <w:color w:val="000000" w:themeColor="text1"/>
          <w:u w:color="000000" w:themeColor="text1"/>
        </w:rPr>
        <w:noBreakHyphen/>
      </w:r>
      <w:r w:rsidRPr="00C56558">
        <w:rPr>
          <w:color w:val="000000" w:themeColor="text1"/>
          <w:u w:color="000000" w:themeColor="text1"/>
        </w:rPr>
        <w:t>13</w:t>
      </w:r>
      <w:r w:rsidR="00620F47">
        <w:rPr>
          <w:color w:val="000000" w:themeColor="text1"/>
          <w:u w:color="000000" w:themeColor="text1"/>
        </w:rPr>
        <w:noBreakHyphen/>
      </w:r>
      <w:r w:rsidRPr="00C56558">
        <w:rPr>
          <w:color w:val="000000" w:themeColor="text1"/>
          <w:u w:color="000000" w:themeColor="text1"/>
        </w:rPr>
        <w:t>110(B)(1);</w:t>
      </w: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558">
        <w:rPr>
          <w:color w:val="000000" w:themeColor="text1"/>
          <w:u w:color="000000" w:themeColor="text1"/>
        </w:rPr>
        <w:tab/>
      </w:r>
      <w:r w:rsidRPr="00C56558">
        <w:rPr>
          <w:color w:val="000000" w:themeColor="text1"/>
          <w:u w:color="000000" w:themeColor="text1"/>
        </w:rPr>
        <w:tab/>
        <w:t>(8)</w:t>
      </w:r>
      <w:r w:rsidRPr="00C56558">
        <w:rPr>
          <w:color w:val="000000" w:themeColor="text1"/>
          <w:u w:color="000000" w:themeColor="text1"/>
        </w:rPr>
        <w:tab/>
        <w:t>driving under suspension pursuant to Section 56</w:t>
      </w:r>
      <w:r w:rsidR="00620F47">
        <w:rPr>
          <w:color w:val="000000" w:themeColor="text1"/>
          <w:u w:color="000000" w:themeColor="text1"/>
        </w:rPr>
        <w:noBreakHyphen/>
      </w:r>
      <w:r w:rsidRPr="00C56558">
        <w:rPr>
          <w:color w:val="000000" w:themeColor="text1"/>
          <w:u w:color="000000" w:themeColor="text1"/>
        </w:rPr>
        <w:t>1</w:t>
      </w:r>
      <w:r w:rsidR="00620F47">
        <w:rPr>
          <w:color w:val="000000" w:themeColor="text1"/>
          <w:u w:color="000000" w:themeColor="text1"/>
        </w:rPr>
        <w:noBreakHyphen/>
      </w:r>
      <w:r w:rsidRPr="00C56558">
        <w:rPr>
          <w:color w:val="000000" w:themeColor="text1"/>
          <w:u w:color="000000" w:themeColor="text1"/>
        </w:rPr>
        <w:t>460(A)(1);</w:t>
      </w: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558">
        <w:rPr>
          <w:color w:val="000000" w:themeColor="text1"/>
          <w:u w:color="000000" w:themeColor="text1"/>
        </w:rPr>
        <w:tab/>
      </w:r>
      <w:r w:rsidRPr="00C56558">
        <w:rPr>
          <w:color w:val="000000" w:themeColor="text1"/>
          <w:u w:color="000000" w:themeColor="text1"/>
        </w:rPr>
        <w:tab/>
        <w:t>(9)</w:t>
      </w:r>
      <w:r w:rsidRPr="00C56558">
        <w:rPr>
          <w:color w:val="000000" w:themeColor="text1"/>
          <w:u w:color="000000" w:themeColor="text1"/>
        </w:rPr>
        <w:tab/>
        <w:t>simple possession of a controlled substance pursuant to Article 3, Chapter 53, Title 44; or</w:t>
      </w: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558">
        <w:rPr>
          <w:color w:val="000000" w:themeColor="text1"/>
          <w:u w:color="000000" w:themeColor="text1"/>
        </w:rPr>
        <w:tab/>
      </w:r>
      <w:r w:rsidRPr="00C56558">
        <w:rPr>
          <w:color w:val="000000" w:themeColor="text1"/>
          <w:u w:color="000000" w:themeColor="text1"/>
        </w:rPr>
        <w:tab/>
        <w:t>(10)</w:t>
      </w:r>
      <w:r w:rsidRPr="00C56558">
        <w:rPr>
          <w:color w:val="000000" w:themeColor="text1"/>
          <w:u w:color="000000" w:themeColor="text1"/>
        </w:rPr>
        <w:tab/>
        <w:t>a similar local or state offense for w</w:t>
      </w:r>
      <w:r w:rsidR="001F028D">
        <w:rPr>
          <w:color w:val="000000" w:themeColor="text1"/>
          <w:u w:color="000000" w:themeColor="text1"/>
        </w:rPr>
        <w:t>hich, in the discretion of the s</w:t>
      </w:r>
      <w:r w:rsidRPr="00C56558">
        <w:rPr>
          <w:color w:val="000000" w:themeColor="text1"/>
          <w:u w:color="000000" w:themeColor="text1"/>
        </w:rPr>
        <w:t>olicitor, the elements are substantially similar as for any of the above listed offenses.</w:t>
      </w: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558">
        <w:rPr>
          <w:color w:val="000000" w:themeColor="text1"/>
          <w:u w:color="000000" w:themeColor="text1"/>
        </w:rPr>
        <w:tab/>
        <w:t>(C)</w:t>
      </w:r>
      <w:r w:rsidRPr="00C56558">
        <w:rPr>
          <w:color w:val="000000" w:themeColor="text1"/>
          <w:u w:color="000000" w:themeColor="text1"/>
        </w:rPr>
        <w:tab/>
        <w:t>Upon dismissal of the offense pursuant to the req</w:t>
      </w:r>
      <w:r w:rsidR="00EB78F2">
        <w:rPr>
          <w:color w:val="000000" w:themeColor="text1"/>
          <w:u w:color="000000" w:themeColor="text1"/>
        </w:rPr>
        <w:t>uirements of this section, the s</w:t>
      </w:r>
      <w:r w:rsidRPr="00C56558">
        <w:rPr>
          <w:color w:val="000000" w:themeColor="text1"/>
          <w:u w:color="000000" w:themeColor="text1"/>
        </w:rPr>
        <w:t>olicitor in the county in which the alleged offense occurred shall notify the State Law Enforcement Division (SLED) and SLED shall remove the pending charge from the petitioner</w:t>
      </w:r>
      <w:r w:rsidR="00620F47" w:rsidRPr="00620F47">
        <w:rPr>
          <w:color w:val="000000" w:themeColor="text1"/>
          <w:u w:color="000000" w:themeColor="text1"/>
        </w:rPr>
        <w:t>’</w:t>
      </w:r>
      <w:r w:rsidRPr="00C56558">
        <w:rPr>
          <w:color w:val="000000" w:themeColor="text1"/>
          <w:u w:color="000000" w:themeColor="text1"/>
        </w:rPr>
        <w:t>s criminal record within ten days of notification of dismissal.</w:t>
      </w:r>
      <w:r w:rsidR="00AD6184">
        <w:rPr>
          <w:color w:val="000000" w:themeColor="text1"/>
          <w:u w:color="000000" w:themeColor="text1"/>
        </w:rPr>
        <w:t xml:space="preserve"> </w:t>
      </w:r>
      <w:r w:rsidRPr="00C56558">
        <w:rPr>
          <w:color w:val="000000" w:themeColor="text1"/>
          <w:u w:color="000000" w:themeColor="text1"/>
        </w:rPr>
        <w:t>Additionally, any arrest and booking records, associated bench warrants, mug shots, and fingerprints of the person must be destroyed and no evidence of the record pertaining to the charge or associated bench warrants may be retained by any municipal, county, or state agency.</w:t>
      </w:r>
      <w:r w:rsidR="00AD6184">
        <w:rPr>
          <w:color w:val="000000" w:themeColor="text1"/>
          <w:u w:color="000000" w:themeColor="text1"/>
        </w:rPr>
        <w:t xml:space="preserve"> </w:t>
      </w:r>
      <w:r w:rsidRPr="00C56558">
        <w:rPr>
          <w:color w:val="000000" w:themeColor="text1"/>
          <w:u w:color="000000" w:themeColor="text1"/>
        </w:rPr>
        <w:t>A municipal, county, or state agency, or an employee of a municipal, county, or state agency that intentionally violates this subsection is guilty of contempt of court.</w:t>
      </w:r>
      <w:r w:rsidR="008C3888">
        <w:rPr>
          <w:color w:val="000000" w:themeColor="text1"/>
          <w:u w:color="000000" w:themeColor="text1"/>
        </w:rPr>
        <w:t>”</w:t>
      </w: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558">
        <w:rPr>
          <w:color w:val="000000" w:themeColor="text1"/>
          <w:u w:color="000000" w:themeColor="text1"/>
        </w:rPr>
        <w:t>SECTION</w:t>
      </w:r>
      <w:r w:rsidRPr="00C56558">
        <w:rPr>
          <w:color w:val="000000" w:themeColor="text1"/>
          <w:u w:color="000000" w:themeColor="text1"/>
        </w:rPr>
        <w:tab/>
        <w:t>2.</w:t>
      </w:r>
      <w:r w:rsidRPr="00C56558">
        <w:rPr>
          <w:color w:val="000000" w:themeColor="text1"/>
          <w:u w:color="000000" w:themeColor="text1"/>
        </w:rPr>
        <w:tab/>
        <w:t>This act takes effect upon approval of the Governor and applies retroactively to offenses charged before the effective date of this act which may be eligible for dismissal.</w:t>
      </w:r>
      <w:r w:rsidRPr="00C56558">
        <w:rPr>
          <w:color w:val="000000" w:themeColor="text1"/>
          <w:u w:color="000000" w:themeColor="text1"/>
        </w:rPr>
        <w:tab/>
      </w:r>
    </w:p>
    <w:p w:rsidR="00F1562A" w:rsidRDefault="00620F47" w:rsidP="00373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79B8" w:rsidRDefault="001E79B8" w:rsidP="001E79B8">
      <w:pPr>
        <w:suppressAutoHyphens/>
      </w:pPr>
    </w:p>
    <w:sectPr w:rsidR="001E79B8" w:rsidSect="001E79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614A" w:rsidRDefault="009C614A" w:rsidP="009F0C77">
      <w:r>
        <w:separator/>
      </w:r>
    </w:p>
  </w:endnote>
  <w:endnote w:type="continuationSeparator" w:id="0">
    <w:p w:rsidR="009C614A" w:rsidRDefault="009C61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A2BD8E-79DC-4122-8C37-26F62007221D}"/>
    <w:embedBold r:id="rId2" w:fontKey="{30A02884-47CF-4E44-8FD2-8606019CC78E}"/>
  </w:font>
  <w:font w:name="Calibri">
    <w:panose1 w:val="020F0502020204030204"/>
    <w:charset w:val="00"/>
    <w:family w:val="swiss"/>
    <w:pitch w:val="variable"/>
    <w:sig w:usb0="E0002EFF" w:usb1="C000247B" w:usb2="00000009" w:usb3="00000000" w:csb0="000001FF" w:csb1="00000000"/>
    <w:embedRegular r:id="rId3" w:fontKey="{1900E41C-250D-4185-A457-B226BF0E02CC}"/>
  </w:font>
  <w:font w:name="Segoe UI">
    <w:panose1 w:val="020B0502040204020203"/>
    <w:charset w:val="00"/>
    <w:family w:val="swiss"/>
    <w:pitch w:val="variable"/>
    <w:sig w:usb0="E4002EFF" w:usb1="C000E47F" w:usb2="00000009" w:usb3="00000000" w:csb0="000001FF" w:csb1="00000000"/>
    <w:embedRegular r:id="rId4" w:fontKey="{4CB3447B-8ECB-43B3-8B4C-649A418B3F56}"/>
  </w:font>
  <w:font w:name="Cambria">
    <w:panose1 w:val="02040503050406030204"/>
    <w:charset w:val="00"/>
    <w:family w:val="roman"/>
    <w:pitch w:val="variable"/>
    <w:sig w:usb0="E00006FF" w:usb1="420024FF" w:usb2="02000000" w:usb3="00000000" w:csb0="0000019F" w:csb1="00000000"/>
    <w:embedRegular r:id="rId5" w:fontKey="{B4DA1198-FB75-4B24-911F-82535DEEE6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62A" w:rsidRPr="001E79B8" w:rsidRDefault="001E79B8" w:rsidP="001E79B8">
    <w:pPr>
      <w:pStyle w:val="Footer"/>
      <w:tabs>
        <w:tab w:val="clear" w:pos="4680"/>
        <w:tab w:val="clear" w:pos="9360"/>
        <w:tab w:val="center" w:pos="2995"/>
      </w:tabs>
      <w:spacing w:before="120"/>
    </w:pPr>
    <w:r>
      <w:t>[4789]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614A" w:rsidRDefault="009C614A" w:rsidP="009F0C77">
      <w:r>
        <w:separator/>
      </w:r>
    </w:p>
  </w:footnote>
  <w:footnote w:type="continuationSeparator" w:id="0">
    <w:p w:rsidR="009C614A" w:rsidRDefault="009C61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26AHB20"/>
    <w:docVar w:name="CoverBillType" w:val="b"/>
    <w:docVar w:name="DocPath" w:val="L:\Council\bills\BH\7226AHB20.DOCX"/>
    <w:docVar w:name="dvBillNumber" w:val="4789"/>
    <w:docVar w:name="dvBillNumberPrefix" w:val="H. "/>
    <w:docVar w:name="dvOriginalBody" w:val="House"/>
    <w:docVar w:name="dvSteno" w:val="BH"/>
    <w:docVar w:name="NameofBody" w:val="h"/>
    <w:docVar w:name="vGroup2" w:val="Council"/>
  </w:docVars>
  <w:rsids>
    <w:rsidRoot w:val="009C614A"/>
    <w:rsid w:val="00011869"/>
    <w:rsid w:val="00015CD6"/>
    <w:rsid w:val="00046DF0"/>
    <w:rsid w:val="000E0100"/>
    <w:rsid w:val="000E1785"/>
    <w:rsid w:val="000F40FA"/>
    <w:rsid w:val="001035F1"/>
    <w:rsid w:val="0010776B"/>
    <w:rsid w:val="00133E66"/>
    <w:rsid w:val="001435A3"/>
    <w:rsid w:val="00146ED3"/>
    <w:rsid w:val="00151044"/>
    <w:rsid w:val="001D08F2"/>
    <w:rsid w:val="001D3A58"/>
    <w:rsid w:val="001D525B"/>
    <w:rsid w:val="001D7F4F"/>
    <w:rsid w:val="001E79B8"/>
    <w:rsid w:val="001F028D"/>
    <w:rsid w:val="00205238"/>
    <w:rsid w:val="00217539"/>
    <w:rsid w:val="002321B6"/>
    <w:rsid w:val="00232912"/>
    <w:rsid w:val="00250967"/>
    <w:rsid w:val="002543C8"/>
    <w:rsid w:val="0025541D"/>
    <w:rsid w:val="00284AAE"/>
    <w:rsid w:val="002E5912"/>
    <w:rsid w:val="00301B21"/>
    <w:rsid w:val="00325348"/>
    <w:rsid w:val="0032732C"/>
    <w:rsid w:val="00336AD0"/>
    <w:rsid w:val="0037079A"/>
    <w:rsid w:val="00373CE1"/>
    <w:rsid w:val="00382E5E"/>
    <w:rsid w:val="0039246B"/>
    <w:rsid w:val="003C4DAB"/>
    <w:rsid w:val="003D01E8"/>
    <w:rsid w:val="003E5288"/>
    <w:rsid w:val="003F6D79"/>
    <w:rsid w:val="0041760A"/>
    <w:rsid w:val="00417C01"/>
    <w:rsid w:val="004403BD"/>
    <w:rsid w:val="00461441"/>
    <w:rsid w:val="004809EE"/>
    <w:rsid w:val="004E7D54"/>
    <w:rsid w:val="005067FA"/>
    <w:rsid w:val="005273C6"/>
    <w:rsid w:val="00530A69"/>
    <w:rsid w:val="00545593"/>
    <w:rsid w:val="00556EBF"/>
    <w:rsid w:val="005665D1"/>
    <w:rsid w:val="00577C6C"/>
    <w:rsid w:val="005A62FE"/>
    <w:rsid w:val="005C2FE2"/>
    <w:rsid w:val="005E2BC9"/>
    <w:rsid w:val="00605102"/>
    <w:rsid w:val="00620F47"/>
    <w:rsid w:val="006215AA"/>
    <w:rsid w:val="006913C9"/>
    <w:rsid w:val="0069470D"/>
    <w:rsid w:val="006D58AA"/>
    <w:rsid w:val="00734F00"/>
    <w:rsid w:val="00736959"/>
    <w:rsid w:val="007A5BC3"/>
    <w:rsid w:val="007A70AE"/>
    <w:rsid w:val="008362E8"/>
    <w:rsid w:val="0085786E"/>
    <w:rsid w:val="008A1768"/>
    <w:rsid w:val="008A489F"/>
    <w:rsid w:val="008C3888"/>
    <w:rsid w:val="008F0F33"/>
    <w:rsid w:val="008F4429"/>
    <w:rsid w:val="0094021A"/>
    <w:rsid w:val="009B44AF"/>
    <w:rsid w:val="009C614A"/>
    <w:rsid w:val="009C6A0B"/>
    <w:rsid w:val="009F0C77"/>
    <w:rsid w:val="009F4DD1"/>
    <w:rsid w:val="00A02543"/>
    <w:rsid w:val="00A41684"/>
    <w:rsid w:val="00A64E80"/>
    <w:rsid w:val="00A65916"/>
    <w:rsid w:val="00A72BCD"/>
    <w:rsid w:val="00A741D9"/>
    <w:rsid w:val="00A833AB"/>
    <w:rsid w:val="00A9741D"/>
    <w:rsid w:val="00AC34A2"/>
    <w:rsid w:val="00AD1C9A"/>
    <w:rsid w:val="00AD4B17"/>
    <w:rsid w:val="00AD6184"/>
    <w:rsid w:val="00B412D4"/>
    <w:rsid w:val="00B64FFF"/>
    <w:rsid w:val="00BE3C22"/>
    <w:rsid w:val="00C0345E"/>
    <w:rsid w:val="00C21ABE"/>
    <w:rsid w:val="00C31C95"/>
    <w:rsid w:val="00C3483A"/>
    <w:rsid w:val="00C74E9D"/>
    <w:rsid w:val="00C826DD"/>
    <w:rsid w:val="00C82FD3"/>
    <w:rsid w:val="00C92819"/>
    <w:rsid w:val="00CC6B7B"/>
    <w:rsid w:val="00CD2089"/>
    <w:rsid w:val="00CE278A"/>
    <w:rsid w:val="00D73A67"/>
    <w:rsid w:val="00D82255"/>
    <w:rsid w:val="00D970A9"/>
    <w:rsid w:val="00DF3845"/>
    <w:rsid w:val="00E310A6"/>
    <w:rsid w:val="00E41911"/>
    <w:rsid w:val="00E44B57"/>
    <w:rsid w:val="00E72B59"/>
    <w:rsid w:val="00E92EEF"/>
    <w:rsid w:val="00EB78F2"/>
    <w:rsid w:val="00EF2368"/>
    <w:rsid w:val="00F1562A"/>
    <w:rsid w:val="00F24442"/>
    <w:rsid w:val="00F50AE3"/>
    <w:rsid w:val="00F655B7"/>
    <w:rsid w:val="00F656BA"/>
    <w:rsid w:val="00F67CF1"/>
    <w:rsid w:val="00F728AA"/>
    <w:rsid w:val="00F840F0"/>
    <w:rsid w:val="00F9480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4E4FC8-8FAF-449A-BD3C-CBBEB18F3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48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8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D6598-B765-4D00-AC86-BDEBEC864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489</Words>
  <Characters>2574</Characters>
  <Application>Microsoft Office Word</Application>
  <DocSecurity>0</DocSecurity>
  <Lines>74</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4789 Text of Previous Version (Dec. 11, 2019) - South Carolina Legislature Online</dc:title>
  <dc:creator>Bonnie Huth</dc:creator>
  <cp:lastModifiedBy>S Wilson</cp:lastModifiedBy>
  <cp:revision>2</cp:revision>
  <cp:lastPrinted>2019-12-10T17:06:00Z</cp:lastPrinted>
  <dcterms:created xsi:type="dcterms:W3CDTF">2019-12-11T18:48:00Z</dcterms:created>
  <dcterms:modified xsi:type="dcterms:W3CDTF">2019-12-11T18:48:00Z</dcterms:modified>
</cp:coreProperties>
</file>