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2019</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62F76" w:rsidRDefault="00362F76" w:rsidP="00362F76">
      <w:pPr>
        <w:tabs>
          <w:tab w:val="right" w:pos="5933"/>
        </w:tabs>
        <w:suppressAutoHyphens/>
        <w:jc w:val="both"/>
        <w:rPr>
          <w:rFonts w:eastAsia="Times New Roman"/>
        </w:rPr>
      </w:pPr>
      <w:r>
        <w:rPr>
          <w:rFonts w:eastAsia="Times New Roman"/>
        </w:rPr>
        <w:tab/>
      </w:r>
      <w:r>
        <w:rPr>
          <w:rFonts w:eastAsia="Times New Roman"/>
          <w:b/>
          <w:sz w:val="36"/>
        </w:rPr>
        <w:t>S. 649</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2280">
        <w:t>Senator Alexander</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38566D">
      <w:pPr>
        <w:tabs>
          <w:tab w:val="right" w:pos="5933"/>
        </w:tabs>
        <w:suppressAutoHyphens/>
        <w:jc w:val="both"/>
        <w:rPr>
          <w:rFonts w:eastAsia="Times New Roman"/>
        </w:rPr>
      </w:pPr>
      <w:r>
        <w:rPr>
          <w:rFonts w:eastAsia="Times New Roman"/>
        </w:rPr>
        <w:t>S. Printed 3/28/19--S.</w:t>
      </w:r>
      <w:r w:rsidR="0038566D">
        <w:rPr>
          <w:rFonts w:eastAsia="Times New Roman"/>
        </w:rPr>
        <w:tab/>
        <w:t>[SEC 3/29/19 12:43 PM]</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649) to change the effective date for amendments to Sections 40-57-115, 40-57-340, and 40-57-510(F) and, etc., respectfully</w:t>
      </w: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015F9"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15F9">
        <w:rPr>
          <w:rFonts w:eastAsia="Times New Roman"/>
          <w:snapToGrid w:val="0"/>
          <w:szCs w:val="20"/>
        </w:rPr>
        <w:tab/>
        <w:t>Amend the bill, as and if amended, page 1, by striking lines 32 through 34 and inserting:</w:t>
      </w:r>
    </w:p>
    <w:p w:rsidR="00362F76" w:rsidRPr="003015F9"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015F9">
        <w:rPr>
          <w:rFonts w:eastAsia="Times New Roman"/>
          <w:snapToGrid w:val="0"/>
          <w:szCs w:val="20"/>
        </w:rPr>
        <w:tab/>
      </w:r>
      <w:r w:rsidRPr="003015F9">
        <w:rPr>
          <w:rFonts w:eastAsia="Times New Roman"/>
          <w:snapToGrid w:val="0"/>
          <w:szCs w:val="20"/>
        </w:rPr>
        <w:tab/>
        <w:t>/</w:t>
      </w:r>
      <w:r w:rsidRPr="003015F9">
        <w:rPr>
          <w:rFonts w:eastAsia="Times New Roman"/>
        </w:rPr>
        <w:t>check as a condition of licensure renewal. Each of the provisions contained in Act 60 of 2017 identified herein is effective for initial license applications or renewals due on or after July 1, 2020.</w:t>
      </w:r>
      <w:r w:rsidRPr="003015F9">
        <w:rPr>
          <w:rFonts w:eastAsia="Times New Roman"/>
          <w:snapToGrid w:val="0"/>
          <w:szCs w:val="20"/>
        </w:rPr>
        <w:tab/>
      </w:r>
      <w:r w:rsidRPr="003015F9">
        <w:rPr>
          <w:rFonts w:eastAsia="Times New Roman"/>
          <w:snapToGrid w:val="0"/>
          <w:szCs w:val="20"/>
        </w:rPr>
        <w:tab/>
        <w:t>/</w:t>
      </w:r>
    </w:p>
    <w:p w:rsidR="00362F76" w:rsidRPr="003015F9"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15F9">
        <w:rPr>
          <w:rFonts w:eastAsia="Times New Roman"/>
          <w:snapToGrid w:val="0"/>
          <w:szCs w:val="20"/>
        </w:rPr>
        <w:tab/>
        <w:t>Renumber sections to conform.</w:t>
      </w:r>
    </w:p>
    <w:p w:rsid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15F9">
        <w:rPr>
          <w:rFonts w:eastAsia="Times New Roman"/>
          <w:snapToGrid w:val="0"/>
          <w:szCs w:val="20"/>
        </w:rPr>
        <w:tab/>
        <w:t>Amend title to conform.</w:t>
      </w:r>
    </w:p>
    <w:p w:rsidR="00362F76" w:rsidRPr="003015F9"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62F76" w:rsidRPr="00D50613" w:rsidRDefault="00362F76" w:rsidP="00362F76">
      <w:pPr>
        <w:rPr>
          <w:b/>
        </w:rPr>
      </w:pPr>
      <w:r w:rsidRPr="00D50613">
        <w:rPr>
          <w:b/>
        </w:rPr>
        <w:t>Explanation of Fiscal Impact</w:t>
      </w:r>
    </w:p>
    <w:p w:rsidR="00362F76" w:rsidRPr="00D50613" w:rsidRDefault="00362F76" w:rsidP="00362F76">
      <w:pPr>
        <w:rPr>
          <w:b/>
        </w:rPr>
      </w:pPr>
      <w:r w:rsidRPr="00D50613">
        <w:rPr>
          <w:b/>
        </w:rPr>
        <w:t xml:space="preserve">Introduced on March 13, 2019 </w:t>
      </w:r>
    </w:p>
    <w:p w:rsidR="00362F76" w:rsidRPr="00D50613" w:rsidRDefault="00362F76" w:rsidP="00362F76">
      <w:r w:rsidRPr="00D50613">
        <w:rPr>
          <w:b/>
        </w:rPr>
        <w:t>State Expenditure</w:t>
      </w:r>
    </w:p>
    <w:p w:rsidR="00362F76" w:rsidRPr="00D50613" w:rsidRDefault="00362F76" w:rsidP="00362F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50613">
        <w:rPr>
          <w:sz w:val="22"/>
        </w:rPr>
        <w:t xml:space="preserve">This bill changes the effective date for the provisions contained in Act 60 of 2017 from May 19, 2020, to July 1, 2020.  The Act requires certain real estate professionals, property managers, and property managers-in-charge to undergo criminal background checks as a condition of initial licensure and license renewals.   </w:t>
      </w:r>
    </w:p>
    <w:p w:rsidR="00362F76" w:rsidRPr="00D50613" w:rsidRDefault="00362F76" w:rsidP="00362F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50613">
        <w:rPr>
          <w:b/>
          <w:sz w:val="22"/>
        </w:rPr>
        <w:lastRenderedPageBreak/>
        <w:t>Department of Labor, Licensing and Regulation.</w:t>
      </w:r>
      <w:r w:rsidRPr="00D50613">
        <w:rPr>
          <w:sz w:val="22"/>
        </w:rPr>
        <w:t xml:space="preserve">  This bill changes the effective date of the provisions contained in Act 60 of 2017 to coincide with the licensure renewal date for real estate professionals.  Real estate professionals are licensed by the Real Estate Commission, which is under the administration of LLR.  LLR indicates that changing the effective date of these provisions does not alter the regulatory responsibilities of the commission.  Therefore, this bill will have no expenditure impact on LLR or the commission.  </w:t>
      </w:r>
    </w:p>
    <w:p w:rsidR="00362F76" w:rsidRPr="00D50613" w:rsidRDefault="00362F76" w:rsidP="00362F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50613">
        <w:rPr>
          <w:b/>
          <w:sz w:val="22"/>
        </w:rPr>
        <w:t>State Law Enforcement Division.</w:t>
      </w:r>
      <w:r w:rsidRPr="00D50613">
        <w:rPr>
          <w:sz w:val="22"/>
        </w:rPr>
        <w:t xml:space="preserve">  SLED conducts criminal background checks for applicants seeking licensure with the Real Estate Commission.  The agency reports that this bill will have no expenditure impact because the bill charges the agency with responsibilities which can be managed within existing appropriations.</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62F76" w:rsidRP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2F76" w:rsidSect="00362F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D294D" w:rsidRPr="00522CE0" w:rsidRDefault="00DD2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60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10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CHANGE THE EFFECTIVE DATE FOR AMENDMENTS TO SECTIONS 40-57-115, 40-57-340, AND 40-57-510(F) AND (G) OF THE 1976 CODE CONTAINED WITHIN ACT 60 OF 2017, ALL RELATING TO THE ADDITION OF CRIMINAL BACKGROUND CHECKS TO LICENSURE REQUIREMENTS FOR REAL ESTATE PROFESSIONALS, FROM MAY 19, 2020</w:t>
      </w:r>
      <w:r w:rsidR="0038566D">
        <w:rPr>
          <w:rFonts w:eastAsia="Times New Roman"/>
        </w:rPr>
        <w:t>,</w:t>
      </w:r>
      <w:r>
        <w:rPr>
          <w:rFonts w:eastAsia="Times New Roman"/>
        </w:rPr>
        <w:t xml:space="preserve"> TO JULY 1, 2020.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60D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60D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5F8" w:rsidRDefault="0043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Act 60 of 2017</w:t>
      </w:r>
      <w:r w:rsidR="00406EC1">
        <w:rPr>
          <w:rFonts w:eastAsia="Times New Roman"/>
        </w:rPr>
        <w:t xml:space="preserve"> amended Chapter 40, Title 57 of the 1976 Code by adding Section 40-57-</w:t>
      </w:r>
      <w:r w:rsidR="00EC7269">
        <w:rPr>
          <w:rFonts w:eastAsia="Times New Roman"/>
        </w:rPr>
        <w:t>115</w:t>
      </w:r>
      <w:r w:rsidR="00406EC1">
        <w:rPr>
          <w:rFonts w:eastAsia="Times New Roman"/>
        </w:rPr>
        <w:t xml:space="preserve"> to provide that certain real estate professionals must undergo criminal background checks for initial applications</w:t>
      </w:r>
      <w:r w:rsidR="00EB10A0">
        <w:rPr>
          <w:rFonts w:eastAsia="Times New Roman"/>
        </w:rPr>
        <w:t xml:space="preserve"> for licensure</w:t>
      </w:r>
      <w:r w:rsidR="00406EC1">
        <w:rPr>
          <w:rFonts w:eastAsia="Times New Roman"/>
        </w:rPr>
        <w:t xml:space="preserve"> and </w:t>
      </w:r>
      <w:r w:rsidR="00EB10A0">
        <w:rPr>
          <w:rFonts w:eastAsia="Times New Roman"/>
        </w:rPr>
        <w:t xml:space="preserve">for </w:t>
      </w:r>
      <w:r w:rsidR="00406EC1">
        <w:rPr>
          <w:rFonts w:eastAsia="Times New Roman"/>
        </w:rPr>
        <w:t>licensure renewals; amended Section 4</w:t>
      </w:r>
      <w:r w:rsidR="00EC7269">
        <w:rPr>
          <w:rFonts w:eastAsia="Times New Roman"/>
        </w:rPr>
        <w:t>0</w:t>
      </w:r>
      <w:r w:rsidR="00406EC1">
        <w:rPr>
          <w:rFonts w:eastAsia="Times New Roman"/>
        </w:rPr>
        <w:t xml:space="preserve">-47-340 of the 1976 Code to include a requirement that </w:t>
      </w:r>
      <w:r w:rsidR="00EB10A0">
        <w:rPr>
          <w:rFonts w:eastAsia="Times New Roman"/>
        </w:rPr>
        <w:t xml:space="preserve">certain </w:t>
      </w:r>
      <w:r w:rsidR="00406EC1">
        <w:rPr>
          <w:rFonts w:eastAsia="Times New Roman"/>
        </w:rPr>
        <w:t>real estate professionals must undergo a criminal background check as a condition of licensure renewal; and amend</w:t>
      </w:r>
      <w:r w:rsidR="00EB10A0">
        <w:rPr>
          <w:rFonts w:eastAsia="Times New Roman"/>
        </w:rPr>
        <w:t>ed</w:t>
      </w:r>
      <w:r w:rsidR="00406EC1">
        <w:rPr>
          <w:rFonts w:eastAsia="Times New Roman"/>
        </w:rPr>
        <w:t xml:space="preserve"> Section 40-57-510 of the 1976 Code by adding subsections (F) and (G) to include a requirement that property managers and property managers-in-charge must undergo a criminal background check as a condition of licensure renewal. Each of the provisions contained in Act 60 of 2017 identified herein are effective July 1, 2020.</w:t>
      </w:r>
    </w:p>
    <w:p w:rsidR="004325F8" w:rsidRDefault="0043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0D0" w:rsidRPr="00522CE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4A11">
        <w:rPr>
          <w:rFonts w:eastAsia="Times New Roman"/>
        </w:rPr>
        <w:t>2</w:t>
      </w:r>
      <w:r>
        <w:rPr>
          <w:rFonts w:eastAsia="Times New Roman"/>
        </w:rPr>
        <w:t>.</w:t>
      </w:r>
      <w:r>
        <w:rPr>
          <w:rFonts w:eastAsia="Times New Roman"/>
        </w:rPr>
        <w:tab/>
        <w:t>This act takes effect upon approval by the Governor.</w:t>
      </w:r>
    </w:p>
    <w:p w:rsidR="00FF5E4F" w:rsidRDefault="008006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2389" w:rsidRDefault="00B52389" w:rsidP="00B52389">
      <w:pPr>
        <w:suppressAutoHyphens/>
        <w:jc w:val="both"/>
        <w:rPr>
          <w:rFonts w:eastAsia="Times New Roman"/>
        </w:rPr>
      </w:pPr>
    </w:p>
    <w:sectPr w:rsidR="00B52389" w:rsidSect="00362F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C1" w:rsidRDefault="00406EC1" w:rsidP="00522CE0">
      <w:r>
        <w:separator/>
      </w:r>
    </w:p>
  </w:endnote>
  <w:endnote w:type="continuationSeparator" w:id="0">
    <w:p w:rsidR="00406EC1" w:rsidRDefault="00406E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EF101D5-B8C1-4344-8FFD-AEA332A37E48}"/>
    <w:embedBold r:id="rId2" w:fontKey="{21A136D7-8177-4E6B-84FA-3E26B6520C5D}"/>
  </w:font>
  <w:font w:name="Calibri">
    <w:panose1 w:val="020F0502020204030204"/>
    <w:charset w:val="00"/>
    <w:family w:val="swiss"/>
    <w:pitch w:val="variable"/>
    <w:sig w:usb0="E0002AFF" w:usb1="C000247B" w:usb2="00000009" w:usb3="00000000" w:csb0="000001FF" w:csb1="00000000"/>
    <w:embedRegular r:id="rId3" w:fontKey="{5309FEB7-1280-4507-ABEF-BA1E64F03235}"/>
    <w:embedBold r:id="rId4" w:fontKey="{3C753677-C479-447B-BD6E-8BCDD013DDBB}"/>
  </w:font>
  <w:font w:name="Cambria">
    <w:panose1 w:val="02040503050406030204"/>
    <w:charset w:val="00"/>
    <w:family w:val="roman"/>
    <w:pitch w:val="variable"/>
    <w:sig w:usb0="E00006FF" w:usb1="420024FF" w:usb2="02000000" w:usb3="00000000" w:csb0="0000019F" w:csb1="00000000"/>
    <w:embedRegular r:id="rId5" w:fontKey="{6402C8E4-7C8C-4814-9C78-4AA74259D1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E4F" w:rsidRPr="00DD294D" w:rsidRDefault="00DD294D" w:rsidP="00DD294D">
    <w:pPr>
      <w:pStyle w:val="Footer"/>
      <w:tabs>
        <w:tab w:val="clear" w:pos="4680"/>
        <w:tab w:val="clear" w:pos="9360"/>
        <w:tab w:val="center" w:pos="2995"/>
      </w:tabs>
      <w:spacing w:before="120"/>
    </w:pPr>
    <w:r>
      <w:t>[649</w:t>
    </w:r>
    <w:r w:rsidR="00362F76">
      <w:t>-</w:t>
    </w:r>
    <w:r w:rsidR="00362F76">
      <w:fldChar w:fldCharType="begin"/>
    </w:r>
    <w:r w:rsidR="00362F76">
      <w:instrText xml:space="preserve"> PAGE  \* MERGEFORMAT </w:instrText>
    </w:r>
    <w:r w:rsidR="00362F76">
      <w:fldChar w:fldCharType="separate"/>
    </w:r>
    <w:r w:rsidR="00B52389">
      <w:rPr>
        <w:noProof/>
      </w:rPr>
      <w:t>2</w:t>
    </w:r>
    <w:r w:rsidR="00362F76">
      <w:fldChar w:fldCharType="end"/>
    </w:r>
    <w:r w:rsidR="00362F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F76" w:rsidRPr="00DD294D" w:rsidRDefault="00362F76" w:rsidP="00DD294D">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B523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C1" w:rsidRDefault="00406EC1" w:rsidP="00522CE0">
      <w:r>
        <w:separator/>
      </w:r>
    </w:p>
  </w:footnote>
  <w:footnote w:type="continuationSeparator" w:id="0">
    <w:p w:rsidR="00406EC1" w:rsidRDefault="00406E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AL.KMM.TCA"/>
    <w:docVar w:name="CoverAttorneyInitials" w:val="KMM"/>
    <w:docVar w:name="CoverAttorneyLastName" w:val="Moffitt"/>
    <w:docVar w:name="CoverBillType" w:val="b"/>
    <w:docVar w:name="CoverSenator" w:val="TCA"/>
    <w:docVar w:name="dvBillNumber" w:val="649"/>
    <w:docVar w:name="dvBillNumberPrefix" w:val="S. "/>
    <w:docVar w:name="dvOriginalBody" w:val="Senate"/>
    <w:docVar w:name="fulldraftpath" w:val="L:\S-RES\TCA\021REAL.KMM.TCA.DOCX"/>
    <w:docVar w:name="NameofBody" w:val="S"/>
    <w:docVar w:name="vgroup2" w:val="S-RES"/>
  </w:docVars>
  <w:rsids>
    <w:rsidRoot w:val="00B860D0"/>
    <w:rsid w:val="00042AC1"/>
    <w:rsid w:val="00046516"/>
    <w:rsid w:val="00072458"/>
    <w:rsid w:val="0007601D"/>
    <w:rsid w:val="000B0720"/>
    <w:rsid w:val="000B5EAF"/>
    <w:rsid w:val="001315B2"/>
    <w:rsid w:val="001513FC"/>
    <w:rsid w:val="00170561"/>
    <w:rsid w:val="00186AC9"/>
    <w:rsid w:val="00197DF1"/>
    <w:rsid w:val="001B3DD9"/>
    <w:rsid w:val="001B7E5D"/>
    <w:rsid w:val="001D3BAC"/>
    <w:rsid w:val="002125A9"/>
    <w:rsid w:val="00216025"/>
    <w:rsid w:val="00245C4E"/>
    <w:rsid w:val="002C1321"/>
    <w:rsid w:val="002C2031"/>
    <w:rsid w:val="002C5896"/>
    <w:rsid w:val="002D3BED"/>
    <w:rsid w:val="00307C2B"/>
    <w:rsid w:val="00315D04"/>
    <w:rsid w:val="00362F76"/>
    <w:rsid w:val="00383247"/>
    <w:rsid w:val="0038566D"/>
    <w:rsid w:val="003D6E2B"/>
    <w:rsid w:val="003E7597"/>
    <w:rsid w:val="00406EC1"/>
    <w:rsid w:val="00413EBF"/>
    <w:rsid w:val="004325F8"/>
    <w:rsid w:val="0044020F"/>
    <w:rsid w:val="00450668"/>
    <w:rsid w:val="00454138"/>
    <w:rsid w:val="004813A2"/>
    <w:rsid w:val="004952FA"/>
    <w:rsid w:val="004B6A22"/>
    <w:rsid w:val="004D7F37"/>
    <w:rsid w:val="00522CE0"/>
    <w:rsid w:val="00534A11"/>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5EBB"/>
    <w:rsid w:val="007E5CB7"/>
    <w:rsid w:val="0080066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FDC"/>
    <w:rsid w:val="00A9594E"/>
    <w:rsid w:val="00AE59C8"/>
    <w:rsid w:val="00B10098"/>
    <w:rsid w:val="00B52389"/>
    <w:rsid w:val="00B5790D"/>
    <w:rsid w:val="00B860D0"/>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94D"/>
    <w:rsid w:val="00DE5635"/>
    <w:rsid w:val="00E058D3"/>
    <w:rsid w:val="00E12CA0"/>
    <w:rsid w:val="00E2236D"/>
    <w:rsid w:val="00E76AD9"/>
    <w:rsid w:val="00E86EE2"/>
    <w:rsid w:val="00E91E2F"/>
    <w:rsid w:val="00EA3546"/>
    <w:rsid w:val="00EB10A0"/>
    <w:rsid w:val="00EB47AE"/>
    <w:rsid w:val="00EC34E1"/>
    <w:rsid w:val="00EC7269"/>
    <w:rsid w:val="00F0234A"/>
    <w:rsid w:val="00F05CF2"/>
    <w:rsid w:val="00F51241"/>
    <w:rsid w:val="00F52959"/>
    <w:rsid w:val="00F55884"/>
    <w:rsid w:val="00FB7F01"/>
    <w:rsid w:val="00FC0D36"/>
    <w:rsid w:val="00FC3A2B"/>
    <w:rsid w:val="00FE6467"/>
    <w:rsid w:val="00F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DA50E13-3F74-44F1-87F5-9BE624C0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362F7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CA4C9E5B</Template>
  <TotalTime>0</TotalTime>
  <Pages>3</Pages>
  <Words>539</Words>
  <Characters>2899</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649 Text of Previous Version (Mar. 29, 2019) - South Carolina Legislature Online</dc:title>
  <dc:subject/>
  <dc:creator>Ken Moffitt</dc:creator>
  <cp:keywords/>
  <dc:description/>
  <cp:lastModifiedBy>Lavarres Lynch</cp:lastModifiedBy>
  <cp:revision>2</cp:revision>
  <dcterms:created xsi:type="dcterms:W3CDTF">2019-03-29T16:44:00Z</dcterms:created>
  <dcterms:modified xsi:type="dcterms:W3CDTF">2019-03-29T16:44:00Z</dcterms:modified>
</cp:coreProperties>
</file>