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23AD" w:rsidRDefault="002723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723AD" w:rsidRDefault="002723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3, 2019</w:t>
      </w:r>
    </w:p>
    <w:p w:rsidR="002723AD" w:rsidRDefault="002723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23AD" w:rsidRPr="002723AD" w:rsidRDefault="002723AD" w:rsidP="002723AD">
      <w:pPr>
        <w:tabs>
          <w:tab w:val="right" w:pos="5933"/>
        </w:tabs>
        <w:suppressAutoHyphens/>
        <w:jc w:val="both"/>
        <w:rPr>
          <w:rFonts w:eastAsia="Times New Roman"/>
        </w:rPr>
      </w:pPr>
      <w:r>
        <w:rPr>
          <w:rFonts w:eastAsia="Times New Roman"/>
        </w:rPr>
        <w:tab/>
      </w:r>
      <w:r>
        <w:rPr>
          <w:rFonts w:eastAsia="Times New Roman"/>
          <w:b/>
          <w:sz w:val="36"/>
        </w:rPr>
        <w:t>S. 689</w:t>
      </w:r>
    </w:p>
    <w:p w:rsidR="002723AD" w:rsidRDefault="002723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23AD" w:rsidRDefault="002723AD" w:rsidP="0027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Climer, Allen and Bennett</w:t>
      </w:r>
    </w:p>
    <w:p w:rsidR="002723AD" w:rsidRDefault="002723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23AD" w:rsidRDefault="002723AD" w:rsidP="00A32F9A">
      <w:pPr>
        <w:tabs>
          <w:tab w:val="right" w:pos="5933"/>
        </w:tabs>
        <w:suppressAutoHyphens/>
        <w:jc w:val="both"/>
        <w:rPr>
          <w:rFonts w:eastAsia="Times New Roman"/>
        </w:rPr>
      </w:pPr>
      <w:r>
        <w:rPr>
          <w:rFonts w:eastAsia="Times New Roman"/>
        </w:rPr>
        <w:t>S. Printed 4/3/19--S.</w:t>
      </w:r>
      <w:r w:rsidR="00A32F9A">
        <w:rPr>
          <w:rFonts w:eastAsia="Times New Roman"/>
        </w:rPr>
        <w:tab/>
        <w:t>[SEC 4/4/19 11:04 AM]</w:t>
      </w:r>
    </w:p>
    <w:p w:rsidR="002723AD" w:rsidRDefault="002723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21, 2019.</w:t>
      </w:r>
    </w:p>
    <w:p w:rsidR="002723AD" w:rsidRPr="002723AD" w:rsidRDefault="002723AD" w:rsidP="0027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723AD" w:rsidRDefault="002723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23AD" w:rsidRPr="002723AD" w:rsidRDefault="002723AD" w:rsidP="0027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LABOR, COMMERCE AND INDUSTRY</w:t>
      </w:r>
    </w:p>
    <w:p w:rsidR="002723AD" w:rsidRDefault="002723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689) to amend Article 1, Chapter 1, Title 40 of the 1976 Code, relating to board regulation of professions and occupations, by adding Section 40-1-75, etc., respectfully</w:t>
      </w:r>
    </w:p>
    <w:p w:rsidR="002723AD" w:rsidRPr="002723AD" w:rsidRDefault="002723AD" w:rsidP="0027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723AD" w:rsidRDefault="002723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2723AD" w:rsidRDefault="002723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23AD" w:rsidRDefault="002723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THOMAS C. ALEXANDER for Committee.</w:t>
      </w:r>
    </w:p>
    <w:p w:rsidR="002723AD" w:rsidRPr="002723AD" w:rsidRDefault="002723AD" w:rsidP="0027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723AD" w:rsidRDefault="002723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23AD" w:rsidRDefault="002723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723AD" w:rsidSect="002723A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06A2F" w:rsidRPr="00522CE0" w:rsidRDefault="00B06A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0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2134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E00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1, CHAPTER 1, TITLE 40 OF THE 1976 CODE, RELAT</w:t>
      </w:r>
      <w:r w:rsidR="004E6318">
        <w:rPr>
          <w:rFonts w:eastAsia="Times New Roman"/>
        </w:rPr>
        <w:t>ING TO BOARD REGULATION</w:t>
      </w:r>
      <w:r>
        <w:rPr>
          <w:rFonts w:eastAsia="Times New Roman"/>
        </w:rPr>
        <w:t xml:space="preserve"> OF PROFESSIONS AND OCCUPATIONS, BY ADDING SECTION 40-1-75</w:t>
      </w:r>
      <w:r w:rsidR="004E6318">
        <w:rPr>
          <w:rFonts w:eastAsia="Times New Roman"/>
        </w:rPr>
        <w:t xml:space="preserve"> AND SECTION 40-1-77</w:t>
      </w:r>
      <w:r>
        <w:rPr>
          <w:rFonts w:eastAsia="Times New Roman"/>
        </w:rPr>
        <w:t xml:space="preserve">, TO PROVIDE THAT PROFESSIONAL BOARDS AND COMMISSIONS MAY NOT </w:t>
      </w:r>
      <w:r w:rsidR="004E6318">
        <w:rPr>
          <w:rFonts w:eastAsia="Times New Roman"/>
        </w:rPr>
        <w:t xml:space="preserve">SOLELY </w:t>
      </w:r>
      <w:r>
        <w:rPr>
          <w:rFonts w:eastAsia="Times New Roman"/>
        </w:rPr>
        <w:t>DENY A LICENSE APPLICATION BASED UPON AN APPLICANT’S PRIOR CRIMINAL CONVICTION UNLESS THE CONVICTION IS FOR A CRIME THAT DIRECTLY RELATES TO THE DUTIES AND RESPONSIBILITIES FOR THE SPECIFIC OCCUPATION OR PROFESSIONAL LICENSE BEING SOUGHT, TO PROVIDE THAT BOARDS AND COMMISSIONS MUST IDENTIFY CRIMES THAT WOULD LEAD TO AN AUTOMATIC DISQUALIFICATION FROM LICENSURE, TO PROVIDE THAT AN APPLICANT MAY OBTAIN A DETERMINATION FROM THE APPROPRIATE BOARD OR COMMISSION CONCERNING WHETHER HIS PRIOR CRIMINAL CONVICTION IS A DISQUALIFYING CONVICTION, TO PROVIDE NOTICE TO APPLICANTS WHO SEEK SUCH A DETERMINATION, TO PROVIDE FOR LICENSURE BY BOARDS AND COMMISSION</w:t>
      </w:r>
      <w:r w:rsidR="00A32F9A">
        <w:rPr>
          <w:rFonts w:eastAsia="Times New Roman"/>
        </w:rPr>
        <w:t>S</w:t>
      </w:r>
      <w:r>
        <w:rPr>
          <w:rFonts w:eastAsia="Times New Roman"/>
        </w:rPr>
        <w:t xml:space="preserve"> FOR APPLICANTS WHO COMPLETE CERTAIN APPRENTICESHIP PROGRAMS, AND TO DEFINE NECESSARY TERMS.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21340" w:rsidRDefault="009213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21340" w:rsidRDefault="009213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1340" w:rsidRDefault="009213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50061">
        <w:rPr>
          <w:rFonts w:eastAsia="Times New Roman"/>
        </w:rPr>
        <w:t>Article 1, Chapter 1, Title 40 of the 1976 Code is amended by adding:</w:t>
      </w:r>
    </w:p>
    <w:p w:rsidR="00250061" w:rsidRDefault="002500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6B77" w:rsidRDefault="00250061" w:rsidP="00E46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40-1-75.</w:t>
      </w:r>
      <w:r>
        <w:rPr>
          <w:rFonts w:eastAsia="Times New Roman"/>
        </w:rPr>
        <w:tab/>
        <w:t>(A)</w:t>
      </w:r>
      <w:r>
        <w:rPr>
          <w:rFonts w:eastAsia="Times New Roman"/>
        </w:rPr>
        <w:tab/>
        <w:t>A regulatory board or commission</w:t>
      </w:r>
      <w:r w:rsidRPr="00250061">
        <w:rPr>
          <w:rFonts w:eastAsia="Times New Roman"/>
        </w:rPr>
        <w:t xml:space="preserve"> </w:t>
      </w:r>
      <w:r>
        <w:rPr>
          <w:rFonts w:eastAsia="Times New Roman"/>
        </w:rPr>
        <w:t xml:space="preserve">may not </w:t>
      </w:r>
      <w:r w:rsidR="004E6318">
        <w:rPr>
          <w:rFonts w:eastAsia="Times New Roman"/>
        </w:rPr>
        <w:t xml:space="preserve">solely or in part deny a license to an applicant </w:t>
      </w:r>
      <w:r>
        <w:rPr>
          <w:rFonts w:eastAsia="Times New Roman"/>
        </w:rPr>
        <w:t xml:space="preserve">because of a prior </w:t>
      </w:r>
      <w:r>
        <w:rPr>
          <w:rFonts w:eastAsia="Times New Roman"/>
        </w:rPr>
        <w:lastRenderedPageBreak/>
        <w:t xml:space="preserve">criminal conviction, unless the criminal conviction directly relates to the duties and responsibilities </w:t>
      </w:r>
      <w:r w:rsidR="004E6318">
        <w:rPr>
          <w:rFonts w:eastAsia="Times New Roman"/>
        </w:rPr>
        <w:t>of</w:t>
      </w:r>
      <w:r>
        <w:rPr>
          <w:rFonts w:eastAsia="Times New Roman"/>
        </w:rPr>
        <w:t xml:space="preserve"> the occupation or profession for which the applicant is seeking a license.</w:t>
      </w:r>
      <w:r w:rsidR="00E46B77">
        <w:rPr>
          <w:rFonts w:eastAsia="Times New Roman"/>
        </w:rPr>
        <w:t xml:space="preserve"> Regulatory boards and commissions are prohibited from using vague or generic terms, including, but not limited to, ‘moral turpitude’ or ‘good character’ </w:t>
      </w:r>
      <w:r w:rsidR="004E6318">
        <w:rPr>
          <w:rFonts w:eastAsia="Times New Roman"/>
        </w:rPr>
        <w:t>and from</w:t>
      </w:r>
      <w:r w:rsidR="00E46B77">
        <w:rPr>
          <w:rFonts w:eastAsia="Times New Roman"/>
        </w:rPr>
        <w:t xml:space="preserve"> consider</w:t>
      </w:r>
      <w:r w:rsidR="004E6318">
        <w:rPr>
          <w:rFonts w:eastAsia="Times New Roman"/>
        </w:rPr>
        <w:t>ing</w:t>
      </w:r>
      <w:r w:rsidR="00E46B77">
        <w:rPr>
          <w:rFonts w:eastAsia="Times New Roman"/>
        </w:rPr>
        <w:t xml:space="preserve"> arrests without a subsequent conviction as </w:t>
      </w:r>
      <w:r w:rsidR="00E901B4">
        <w:rPr>
          <w:rFonts w:eastAsia="Times New Roman"/>
        </w:rPr>
        <w:t>a justification</w:t>
      </w:r>
      <w:r w:rsidR="00E46B77">
        <w:rPr>
          <w:rFonts w:eastAsia="Times New Roman"/>
        </w:rPr>
        <w:t xml:space="preserve"> for denying an applicant a license.</w:t>
      </w:r>
    </w:p>
    <w:p w:rsidR="00250061" w:rsidRDefault="002500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Each regulatory board or commission shall make available to all license applicants a comprehensive list of criminal convictions that are specific and directly related to the duties and </w:t>
      </w:r>
      <w:r w:rsidR="00E46B77">
        <w:rPr>
          <w:rFonts w:eastAsia="Times New Roman"/>
        </w:rPr>
        <w:t xml:space="preserve">responsibilities </w:t>
      </w:r>
      <w:r w:rsidR="004E6318">
        <w:rPr>
          <w:rFonts w:eastAsia="Times New Roman"/>
        </w:rPr>
        <w:t>of</w:t>
      </w:r>
      <w:r>
        <w:rPr>
          <w:rFonts w:eastAsia="Times New Roman"/>
        </w:rPr>
        <w:t xml:space="preserve"> </w:t>
      </w:r>
      <w:r w:rsidR="00E46B77">
        <w:rPr>
          <w:rFonts w:eastAsia="Times New Roman"/>
        </w:rPr>
        <w:t xml:space="preserve">the occupation or profession regulated by the board or commission. </w:t>
      </w:r>
    </w:p>
    <w:p w:rsidR="00250061" w:rsidRDefault="00E46B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(C)(1)</w:t>
      </w:r>
      <w:r>
        <w:rPr>
          <w:rFonts w:eastAsia="Times New Roman"/>
        </w:rPr>
        <w:tab/>
        <w:t>In determining whether an applicant with a criminal conviction shall be denied a license</w:t>
      </w:r>
      <w:r w:rsidR="004E6318">
        <w:rPr>
          <w:rFonts w:eastAsia="Times New Roman"/>
        </w:rPr>
        <w:t>,</w:t>
      </w:r>
      <w:r>
        <w:rPr>
          <w:rFonts w:eastAsia="Times New Roman"/>
        </w:rPr>
        <w:t xml:space="preserve"> the relevant regulatory board or commission shall apply a clear and convincing standard of proof. The board or commission shall make its determination based upon the following factors:</w:t>
      </w:r>
    </w:p>
    <w:p w:rsidR="00E46B77" w:rsidRDefault="00E46B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the nature and severity of the crime for which the applicant was convicted;</w:t>
      </w:r>
    </w:p>
    <w:p w:rsidR="00E46B77" w:rsidRDefault="00E46B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 xml:space="preserve">the length of time since </w:t>
      </w:r>
      <w:r w:rsidR="00780752">
        <w:rPr>
          <w:rFonts w:eastAsia="Times New Roman"/>
        </w:rPr>
        <w:t xml:space="preserve">his </w:t>
      </w:r>
      <w:r>
        <w:rPr>
          <w:rFonts w:eastAsia="Times New Roman"/>
        </w:rPr>
        <w:t>conviction</w:t>
      </w:r>
      <w:r w:rsidR="00AA0C30">
        <w:rPr>
          <w:rFonts w:eastAsia="Times New Roman"/>
        </w:rPr>
        <w:t>;</w:t>
      </w:r>
    </w:p>
    <w:p w:rsidR="00E46B77" w:rsidRDefault="00E46B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t xml:space="preserve">the relationship of the crime to the ability, capacity, and fitness required to perform the duties and discharge the responsibilities of </w:t>
      </w:r>
      <w:r w:rsidR="00AA0C30">
        <w:rPr>
          <w:rFonts w:eastAsia="Times New Roman"/>
        </w:rPr>
        <w:t>the occupation for which he is seeking licensure; and</w:t>
      </w:r>
    </w:p>
    <w:p w:rsidR="00AA0C30" w:rsidRDefault="00AA0C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(d)</w:t>
      </w:r>
      <w:r>
        <w:rPr>
          <w:rFonts w:eastAsia="Times New Roman"/>
        </w:rPr>
        <w:tab/>
        <w:t>evidence of rehabilitation or treatment undertaken by the applicant that may mitigate the relationship referred to in subitem (c).</w:t>
      </w:r>
    </w:p>
    <w:p w:rsidR="00AA0C30" w:rsidRDefault="00AA0C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 xml:space="preserve">If an applicant has a criminal conviction for a crime that could disqualify him from being issued a license, </w:t>
      </w:r>
      <w:r w:rsidR="004E6318">
        <w:rPr>
          <w:rFonts w:eastAsia="Times New Roman"/>
        </w:rPr>
        <w:t xml:space="preserve">then </w:t>
      </w:r>
      <w:r>
        <w:rPr>
          <w:rFonts w:eastAsia="Times New Roman"/>
        </w:rPr>
        <w:t xml:space="preserve">the disqualification shall not last longer than five years from the date of conviction, provided that the conviction is not for a violent crime or criminal sexual conduct and that the applicant has not been convicted of another disqualifying crime during that </w:t>
      </w:r>
      <w:r w:rsidR="00E901B4">
        <w:rPr>
          <w:rFonts w:eastAsia="Times New Roman"/>
        </w:rPr>
        <w:t>five-year</w:t>
      </w:r>
      <w:r>
        <w:rPr>
          <w:rFonts w:eastAsia="Times New Roman"/>
        </w:rPr>
        <w:t xml:space="preserve"> period.</w:t>
      </w:r>
    </w:p>
    <w:p w:rsidR="00AA0C30" w:rsidRDefault="00AA0C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 xml:space="preserve">An applicant with a criminal record may petition a regulatory board or commission for a determination of whether the applicant’s criminal record will disqualify him from being eligible for a license. This petition shall include details concerning the applicant’s criminal record. The regulatory board or commission shall notify the applicant of its determination not later than thirty days after receiving the applicant’s petition. The determination shall be binding unless the applicant has subsequent criminal convictions or failed to disclose relevant information in his petition. The </w:t>
      </w:r>
      <w:r>
        <w:rPr>
          <w:rFonts w:eastAsia="Times New Roman"/>
        </w:rPr>
        <w:lastRenderedPageBreak/>
        <w:t>regulatory board or commission may charge a reasonable fee for filing a petition.</w:t>
      </w:r>
      <w:r w:rsidR="00E901B4">
        <w:rPr>
          <w:rFonts w:eastAsia="Times New Roman"/>
        </w:rPr>
        <w:t xml:space="preserve"> The determination shall be made based upon a clear and convincing evidentiary standard.</w:t>
      </w:r>
    </w:p>
    <w:p w:rsidR="00AA0C30" w:rsidRDefault="00AA0C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r>
      <w:r w:rsidR="00E901B4">
        <w:rPr>
          <w:rFonts w:eastAsia="Times New Roman"/>
        </w:rPr>
        <w:t>If a regulatory board or commission denies a permit application solely or in part because of the applicant’s prior conviction of a crime, then the regulatory board or commission must notify the applicant in writing of its decision. The notice shall provide:</w:t>
      </w:r>
    </w:p>
    <w:p w:rsidR="00E901B4" w:rsidRDefault="00DE3A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E901B4">
        <w:rPr>
          <w:rFonts w:eastAsia="Times New Roman"/>
        </w:rPr>
        <w:tab/>
      </w:r>
      <w:r w:rsidR="00E901B4">
        <w:rPr>
          <w:rFonts w:eastAsia="Times New Roman"/>
        </w:rPr>
        <w:tab/>
        <w:t>(a)</w:t>
      </w:r>
      <w:r w:rsidR="00E901B4">
        <w:rPr>
          <w:rFonts w:eastAsia="Times New Roman"/>
        </w:rPr>
        <w:tab/>
        <w:t>the grounds for the denial;</w:t>
      </w:r>
    </w:p>
    <w:p w:rsidR="00E901B4" w:rsidRDefault="00E901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DE3AEB">
        <w:rPr>
          <w:rFonts w:eastAsia="Times New Roman"/>
        </w:rPr>
        <w:tab/>
      </w:r>
      <w:r>
        <w:rPr>
          <w:rFonts w:eastAsia="Times New Roman"/>
        </w:rPr>
        <w:tab/>
        <w:t>(b)</w:t>
      </w:r>
      <w:r>
        <w:rPr>
          <w:rFonts w:eastAsia="Times New Roman"/>
        </w:rPr>
        <w:tab/>
      </w:r>
      <w:r w:rsidR="004E6318">
        <w:rPr>
          <w:rFonts w:eastAsia="Times New Roman"/>
        </w:rPr>
        <w:t xml:space="preserve">notice </w:t>
      </w:r>
      <w:r>
        <w:rPr>
          <w:rFonts w:eastAsia="Times New Roman"/>
        </w:rPr>
        <w:t>that the individual has the right to a hearing to challenge the denial;</w:t>
      </w:r>
    </w:p>
    <w:p w:rsidR="00E901B4" w:rsidRDefault="00E901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DE3AEB">
        <w:rPr>
          <w:rFonts w:eastAsia="Times New Roman"/>
        </w:rPr>
        <w:tab/>
      </w:r>
      <w:r>
        <w:rPr>
          <w:rFonts w:eastAsia="Times New Roman"/>
        </w:rPr>
        <w:tab/>
        <w:t>(c)</w:t>
      </w:r>
      <w:r>
        <w:rPr>
          <w:rFonts w:eastAsia="Times New Roman"/>
        </w:rPr>
        <w:tab/>
        <w:t>the earlies</w:t>
      </w:r>
      <w:r w:rsidR="004E6318">
        <w:rPr>
          <w:rFonts w:eastAsia="Times New Roman"/>
        </w:rPr>
        <w:t>t</w:t>
      </w:r>
      <w:r>
        <w:rPr>
          <w:rFonts w:eastAsia="Times New Roman"/>
        </w:rPr>
        <w:t xml:space="preserve"> date that the applicant may again apply for licensure; and</w:t>
      </w:r>
    </w:p>
    <w:p w:rsidR="00E901B4" w:rsidRDefault="00E901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DE3AEB">
        <w:rPr>
          <w:rFonts w:eastAsia="Times New Roman"/>
        </w:rPr>
        <w:tab/>
      </w:r>
      <w:r>
        <w:rPr>
          <w:rFonts w:eastAsia="Times New Roman"/>
        </w:rPr>
        <w:tab/>
        <w:t>(d)</w:t>
      </w:r>
      <w:r>
        <w:rPr>
          <w:rFonts w:eastAsia="Times New Roman"/>
        </w:rPr>
        <w:tab/>
      </w:r>
      <w:r w:rsidR="004E6318">
        <w:rPr>
          <w:rFonts w:eastAsia="Times New Roman"/>
        </w:rPr>
        <w:t xml:space="preserve">a statement </w:t>
      </w:r>
      <w:r>
        <w:rPr>
          <w:rFonts w:eastAsia="Times New Roman"/>
        </w:rPr>
        <w:t>that evidence of rehabilitation may be considered upon reapplication.</w:t>
      </w:r>
    </w:p>
    <w:p w:rsidR="00250061" w:rsidRDefault="002500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591" w:rsidRDefault="004E63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D4086D">
        <w:rPr>
          <w:rFonts w:eastAsia="Times New Roman"/>
        </w:rPr>
        <w:t>Section 40-1-</w:t>
      </w:r>
      <w:r w:rsidR="00331591">
        <w:rPr>
          <w:rFonts w:eastAsia="Times New Roman"/>
        </w:rPr>
        <w:t>77.</w:t>
      </w:r>
      <w:r w:rsidR="00331591">
        <w:rPr>
          <w:rFonts w:eastAsia="Times New Roman"/>
        </w:rPr>
        <w:tab/>
        <w:t>(A)</w:t>
      </w:r>
      <w:r w:rsidR="00331591">
        <w:rPr>
          <w:rFonts w:eastAsia="Times New Roman"/>
        </w:rPr>
        <w:tab/>
        <w:t>Fo</w:t>
      </w:r>
      <w:r w:rsidR="00DE3AEB">
        <w:rPr>
          <w:rFonts w:eastAsia="Times New Roman"/>
        </w:rPr>
        <w:t>r the purposes of this section</w:t>
      </w:r>
      <w:r>
        <w:rPr>
          <w:rFonts w:eastAsia="Times New Roman"/>
        </w:rPr>
        <w:t>,</w:t>
      </w:r>
      <w:r w:rsidR="00DE3AEB">
        <w:rPr>
          <w:rFonts w:eastAsia="Times New Roman"/>
        </w:rPr>
        <w:t xml:space="preserve"> ‘</w:t>
      </w:r>
      <w:r w:rsidR="00331591">
        <w:rPr>
          <w:rFonts w:eastAsia="Times New Roman"/>
        </w:rPr>
        <w:t>apprenticeship</w:t>
      </w:r>
      <w:r w:rsidR="00DE3AEB">
        <w:rPr>
          <w:rFonts w:eastAsia="Times New Roman"/>
        </w:rPr>
        <w:t>’</w:t>
      </w:r>
      <w:r w:rsidR="00331591">
        <w:rPr>
          <w:rFonts w:eastAsia="Times New Roman"/>
        </w:rPr>
        <w:t xml:space="preserve"> means a program that meets federal guidelines as provided in 29 C.F.R. Part 29 and 29 U.S.C. Section 50.</w:t>
      </w:r>
    </w:p>
    <w:p w:rsidR="00331591" w:rsidRDefault="003315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Within the parameters established by the federal Labor Standards for the Registration of Apprenticeship Programs pursuant to 29 C.F.R. Part 29 and 29 U.S.C. Section 50, each regulatory board or commission within the department shall issue a license to an applicant who:</w:t>
      </w:r>
    </w:p>
    <w:p w:rsidR="00331591" w:rsidRDefault="003315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successfully completed the eight</w:t>
      </w:r>
      <w:r w:rsidR="004E6318">
        <w:rPr>
          <w:rFonts w:eastAsia="Times New Roman"/>
        </w:rPr>
        <w:t>h</w:t>
      </w:r>
      <w:r>
        <w:rPr>
          <w:rFonts w:eastAsia="Times New Roman"/>
        </w:rPr>
        <w:t xml:space="preserve"> grade;</w:t>
      </w:r>
    </w:p>
    <w:p w:rsidR="00331591" w:rsidRDefault="003315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comp</w:t>
      </w:r>
      <w:r w:rsidR="004E6318">
        <w:rPr>
          <w:rFonts w:eastAsia="Times New Roman"/>
        </w:rPr>
        <w:t>l</w:t>
      </w:r>
      <w:r>
        <w:rPr>
          <w:rFonts w:eastAsia="Times New Roman"/>
        </w:rPr>
        <w:t>eted an apprenticeship approved by the United States Department of Labor or otherwise permitted pursuant to state or federal law. The apprenticeship may be completed under the supervision of a state-licensed practitioner or at a state-licensed school; and</w:t>
      </w:r>
    </w:p>
    <w:p w:rsidR="00331591" w:rsidRDefault="003315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successfully passed an examination by the appropriate regulatory board or commission, if an exam is required by the appropriate regulatory board or commission.</w:t>
      </w:r>
    </w:p>
    <w:p w:rsidR="00331591" w:rsidRDefault="003315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If a regulatory board or commission requires an examination pursuant to subsection (B)(3), then the board or commission shall establish a passing score for the examination</w:t>
      </w:r>
      <w:r w:rsidR="004E6318">
        <w:rPr>
          <w:rFonts w:eastAsia="Times New Roman"/>
        </w:rPr>
        <w:t>,</w:t>
      </w:r>
      <w:r>
        <w:rPr>
          <w:rFonts w:eastAsia="Times New Roman"/>
        </w:rPr>
        <w:t xml:space="preserve"> which shall not exceed any passing scores that are otherwise required for a non-apprenticeship license for that particular occupation or profession.</w:t>
      </w:r>
    </w:p>
    <w:p w:rsidR="005C65A0" w:rsidRDefault="005C65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The number of working hours required for a competency-based apprenticeship or a hybrid apprenticeship under 29 C.F.R. 29.5 shall not exceed the number of educational hours otherwise required for a non-apprenticeship license for that particular occupation or profession.”</w:t>
      </w:r>
    </w:p>
    <w:p w:rsidR="00331591" w:rsidRDefault="003315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1340" w:rsidRPr="00522CE0" w:rsidRDefault="009213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E6318">
        <w:rPr>
          <w:rFonts w:eastAsia="Times New Roman"/>
        </w:rPr>
        <w:t>2</w:t>
      </w:r>
      <w:r>
        <w:rPr>
          <w:rFonts w:eastAsia="Times New Roman"/>
        </w:rPr>
        <w:t>.</w:t>
      </w:r>
      <w:r>
        <w:rPr>
          <w:rFonts w:eastAsia="Times New Roman"/>
        </w:rPr>
        <w:tab/>
        <w:t>This act takes effect upon approval by the Governor.</w:t>
      </w:r>
    </w:p>
    <w:p w:rsidR="006005F1" w:rsidRDefault="00D74AE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E4FCB" w:rsidRDefault="00BE4FCB" w:rsidP="00BE4FCB">
      <w:pPr>
        <w:suppressAutoHyphens/>
        <w:jc w:val="both"/>
        <w:rPr>
          <w:rFonts w:eastAsia="Times New Roman"/>
        </w:rPr>
      </w:pPr>
    </w:p>
    <w:sectPr w:rsidR="00BE4FCB" w:rsidSect="002723A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65A0" w:rsidRDefault="005C65A0" w:rsidP="00522CE0">
      <w:r>
        <w:separator/>
      </w:r>
    </w:p>
  </w:endnote>
  <w:endnote w:type="continuationSeparator" w:id="0">
    <w:p w:rsidR="005C65A0" w:rsidRDefault="005C65A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B7FA3595-02AA-4C1D-9B42-ADEFE9E484D1}"/>
    <w:embedBold r:id="rId2" w:fontKey="{8E79198E-E6D8-451C-A7D6-AA6A50A66D70}"/>
  </w:font>
  <w:font w:name="Calibri">
    <w:panose1 w:val="020F0502020204030204"/>
    <w:charset w:val="00"/>
    <w:family w:val="swiss"/>
    <w:pitch w:val="variable"/>
    <w:sig w:usb0="E0002AFF" w:usb1="C000247B" w:usb2="00000009" w:usb3="00000000" w:csb0="000001FF" w:csb1="00000000"/>
    <w:embedRegular r:id="rId3" w:fontKey="{3B98C165-A00F-460A-BEE5-F92F52DE3C5A}"/>
  </w:font>
  <w:font w:name="Cambria">
    <w:panose1 w:val="02040503050406030204"/>
    <w:charset w:val="00"/>
    <w:family w:val="roman"/>
    <w:pitch w:val="variable"/>
    <w:sig w:usb0="E00006FF" w:usb1="420024FF" w:usb2="02000000" w:usb3="00000000" w:csb0="0000019F" w:csb1="00000000"/>
    <w:embedRegular r:id="rId4" w:fontKey="{FDDB9641-BB91-43C6-89EB-BDF9D0B533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5F1" w:rsidRPr="00B06A2F" w:rsidRDefault="00B06A2F" w:rsidP="00B06A2F">
    <w:pPr>
      <w:pStyle w:val="Footer"/>
      <w:tabs>
        <w:tab w:val="clear" w:pos="4680"/>
        <w:tab w:val="clear" w:pos="9360"/>
        <w:tab w:val="center" w:pos="2995"/>
      </w:tabs>
      <w:spacing w:before="120"/>
    </w:pPr>
    <w:r>
      <w:t>[689</w:t>
    </w:r>
    <w:r w:rsidR="002723AD">
      <w:t>-</w:t>
    </w:r>
    <w:r w:rsidR="002723AD">
      <w:fldChar w:fldCharType="begin"/>
    </w:r>
    <w:r w:rsidR="002723AD">
      <w:instrText xml:space="preserve"> PAGE  \* MERGEFORMAT </w:instrText>
    </w:r>
    <w:r w:rsidR="002723AD">
      <w:fldChar w:fldCharType="separate"/>
    </w:r>
    <w:r w:rsidR="00A32F9A">
      <w:rPr>
        <w:noProof/>
      </w:rPr>
      <w:t>1</w:t>
    </w:r>
    <w:r w:rsidR="002723AD">
      <w:fldChar w:fldCharType="end"/>
    </w:r>
    <w:r w:rsidR="002723A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3AD" w:rsidRPr="00B06A2F" w:rsidRDefault="002723AD" w:rsidP="00B06A2F">
    <w:pPr>
      <w:pStyle w:val="Footer"/>
      <w:tabs>
        <w:tab w:val="clear" w:pos="4680"/>
        <w:tab w:val="clear" w:pos="9360"/>
        <w:tab w:val="center" w:pos="2995"/>
      </w:tabs>
      <w:spacing w:before="120"/>
    </w:pPr>
    <w:r>
      <w:t>[689]</w:t>
    </w:r>
    <w:r>
      <w:tab/>
    </w:r>
    <w:r>
      <w:fldChar w:fldCharType="begin"/>
    </w:r>
    <w:r>
      <w:instrText xml:space="preserve"> PAGE  \* MERGEFORMAT </w:instrText>
    </w:r>
    <w:r>
      <w:fldChar w:fldCharType="separate"/>
    </w:r>
    <w:r w:rsidR="00BE4FC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65A0" w:rsidRDefault="005C65A0" w:rsidP="00522CE0">
      <w:r>
        <w:separator/>
      </w:r>
    </w:p>
  </w:footnote>
  <w:footnote w:type="continuationSeparator" w:id="0">
    <w:p w:rsidR="005C65A0" w:rsidRDefault="005C65A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FRES.KMM.WC"/>
    <w:docVar w:name="CoverAttorneyInitials" w:val="KMM"/>
    <w:docVar w:name="CoverAttorneyLastName" w:val="Moffitt"/>
    <w:docVar w:name="CoverBillType" w:val="b"/>
    <w:docVar w:name="CoverSenator" w:val="WC"/>
    <w:docVar w:name="dvBillNumber" w:val="689"/>
    <w:docVar w:name="dvBillNumberPrefix" w:val="S. "/>
    <w:docVar w:name="dvOriginalBody" w:val="Senate"/>
    <w:docVar w:name="fulldraftpath" w:val="L:\S-RES\WC\009FRES.KMM.WC.DOCX"/>
    <w:docVar w:name="NameofBody" w:val="S"/>
    <w:docVar w:name="vgroup2" w:val="S-RES"/>
  </w:docVars>
  <w:rsids>
    <w:rsidRoot w:val="00921340"/>
    <w:rsid w:val="00042AC1"/>
    <w:rsid w:val="00046516"/>
    <w:rsid w:val="00072458"/>
    <w:rsid w:val="0007601D"/>
    <w:rsid w:val="000B0720"/>
    <w:rsid w:val="000B5EAF"/>
    <w:rsid w:val="001315B2"/>
    <w:rsid w:val="00150AEE"/>
    <w:rsid w:val="00170561"/>
    <w:rsid w:val="00186AC9"/>
    <w:rsid w:val="00197DF1"/>
    <w:rsid w:val="001B3DD9"/>
    <w:rsid w:val="001B7E5D"/>
    <w:rsid w:val="001D3BAC"/>
    <w:rsid w:val="00216025"/>
    <w:rsid w:val="00245C4E"/>
    <w:rsid w:val="00250061"/>
    <w:rsid w:val="002723AD"/>
    <w:rsid w:val="002C1321"/>
    <w:rsid w:val="002C2031"/>
    <w:rsid w:val="002C5896"/>
    <w:rsid w:val="002D3BED"/>
    <w:rsid w:val="00307C2B"/>
    <w:rsid w:val="00315D04"/>
    <w:rsid w:val="00331591"/>
    <w:rsid w:val="00383247"/>
    <w:rsid w:val="003C6984"/>
    <w:rsid w:val="003D6E2B"/>
    <w:rsid w:val="003E7597"/>
    <w:rsid w:val="00413EBF"/>
    <w:rsid w:val="0044020F"/>
    <w:rsid w:val="00450668"/>
    <w:rsid w:val="00454138"/>
    <w:rsid w:val="004813A2"/>
    <w:rsid w:val="004952FA"/>
    <w:rsid w:val="004B6A22"/>
    <w:rsid w:val="004D7F37"/>
    <w:rsid w:val="004E6318"/>
    <w:rsid w:val="00522CE0"/>
    <w:rsid w:val="00541951"/>
    <w:rsid w:val="00565148"/>
    <w:rsid w:val="00570403"/>
    <w:rsid w:val="00593361"/>
    <w:rsid w:val="005A413B"/>
    <w:rsid w:val="005A5017"/>
    <w:rsid w:val="005A648C"/>
    <w:rsid w:val="005C65A0"/>
    <w:rsid w:val="005F07AC"/>
    <w:rsid w:val="005F1745"/>
    <w:rsid w:val="006005F1"/>
    <w:rsid w:val="006A1802"/>
    <w:rsid w:val="006C0CBB"/>
    <w:rsid w:val="006C74EA"/>
    <w:rsid w:val="00720D40"/>
    <w:rsid w:val="007318D4"/>
    <w:rsid w:val="00765784"/>
    <w:rsid w:val="00780752"/>
    <w:rsid w:val="007A4390"/>
    <w:rsid w:val="007E5CB7"/>
    <w:rsid w:val="008314D2"/>
    <w:rsid w:val="00870F6F"/>
    <w:rsid w:val="008B2F42"/>
    <w:rsid w:val="008C3697"/>
    <w:rsid w:val="008E185F"/>
    <w:rsid w:val="008F023B"/>
    <w:rsid w:val="00904E16"/>
    <w:rsid w:val="009162B3"/>
    <w:rsid w:val="00921340"/>
    <w:rsid w:val="00927C62"/>
    <w:rsid w:val="009772FF"/>
    <w:rsid w:val="00983951"/>
    <w:rsid w:val="00984124"/>
    <w:rsid w:val="00984640"/>
    <w:rsid w:val="00995C37"/>
    <w:rsid w:val="009C118A"/>
    <w:rsid w:val="009E0006"/>
    <w:rsid w:val="00A02011"/>
    <w:rsid w:val="00A32F9A"/>
    <w:rsid w:val="00A4011E"/>
    <w:rsid w:val="00A86015"/>
    <w:rsid w:val="00A9594E"/>
    <w:rsid w:val="00AA0C30"/>
    <w:rsid w:val="00AE59C8"/>
    <w:rsid w:val="00B06A2F"/>
    <w:rsid w:val="00B10098"/>
    <w:rsid w:val="00B5790D"/>
    <w:rsid w:val="00B945C5"/>
    <w:rsid w:val="00BA20EA"/>
    <w:rsid w:val="00BB5AFC"/>
    <w:rsid w:val="00BC0A56"/>
    <w:rsid w:val="00BE4FCB"/>
    <w:rsid w:val="00C45366"/>
    <w:rsid w:val="00C57023"/>
    <w:rsid w:val="00C74052"/>
    <w:rsid w:val="00CB187A"/>
    <w:rsid w:val="00CC0EC7"/>
    <w:rsid w:val="00CC251A"/>
    <w:rsid w:val="00CF2C98"/>
    <w:rsid w:val="00D1088B"/>
    <w:rsid w:val="00D1286F"/>
    <w:rsid w:val="00D14DE6"/>
    <w:rsid w:val="00D156D2"/>
    <w:rsid w:val="00D35486"/>
    <w:rsid w:val="00D4086D"/>
    <w:rsid w:val="00D53E29"/>
    <w:rsid w:val="00D74AEA"/>
    <w:rsid w:val="00D86943"/>
    <w:rsid w:val="00DA3C6B"/>
    <w:rsid w:val="00DA47B9"/>
    <w:rsid w:val="00DE3AEB"/>
    <w:rsid w:val="00DE5635"/>
    <w:rsid w:val="00E058D3"/>
    <w:rsid w:val="00E12CA0"/>
    <w:rsid w:val="00E2236D"/>
    <w:rsid w:val="00E46B77"/>
    <w:rsid w:val="00E76AD9"/>
    <w:rsid w:val="00E86EE2"/>
    <w:rsid w:val="00E901B4"/>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897165B2-778A-4589-82AA-F5B2F135E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1B883A86</Template>
  <TotalTime>0</TotalTime>
  <Pages>5</Pages>
  <Words>1021</Words>
  <Characters>5561</Characters>
  <Application>Microsoft Office Word</Application>
  <DocSecurity>0</DocSecurity>
  <Lines>157</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689 Text of Previous Version (Apr. 4, 2019) - South Carolina Legislature Online</dc:title>
  <dc:subject/>
  <dc:creator>Ken Moffitt</dc:creator>
  <cp:keywords/>
  <dc:description/>
  <cp:lastModifiedBy>Lavarres Lynch</cp:lastModifiedBy>
  <cp:revision>2</cp:revision>
  <dcterms:created xsi:type="dcterms:W3CDTF">2019-04-04T15:04:00Z</dcterms:created>
  <dcterms:modified xsi:type="dcterms:W3CDTF">2019-04-04T15:04:00Z</dcterms:modified>
</cp:coreProperties>
</file>