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E0B" w:rsidRDefault="00546E0B"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877" w:rsidRDefault="00EF4877" w:rsidP="00EF4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2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 RELATING TO THE JOB TAX CREDIT, SO AS TO PROVIDE FOR A PORT ENHANCEMENT ZONE; TO AMEND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sidR="00DA2587">
        <w:rPr>
          <w:color w:val="000000" w:themeColor="text1"/>
          <w:u w:color="000000" w:themeColor="text1"/>
        </w:rPr>
        <w:noBreakHyphen/>
      </w:r>
      <w:r w:rsidRPr="00746C9F">
        <w:rPr>
          <w:color w:val="000000" w:themeColor="text1"/>
          <w:u w:color="000000" w:themeColor="text1"/>
        </w:rPr>
        <w:t>TIME JOBS IN A PORT ENHANCEMENT ZONE; TO AMEND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3375, 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sidR="00DA2587">
        <w:rPr>
          <w:color w:val="000000" w:themeColor="text1"/>
          <w:u w:color="000000" w:themeColor="text1"/>
        </w:rPr>
        <w:noBreakHyphen/>
      </w:r>
      <w:r w:rsidRPr="00746C9F">
        <w:rPr>
          <w:color w:val="000000" w:themeColor="text1"/>
          <w:u w:color="000000" w:themeColor="text1"/>
        </w:rPr>
        <w:t>TIME JOBS IN A PORT ENHANCEMENT ZONE; TO AMEND SECTION 12</w:t>
      </w:r>
      <w:r w:rsidR="00DA2587">
        <w:rPr>
          <w:color w:val="000000" w:themeColor="text1"/>
          <w:u w:color="000000" w:themeColor="text1"/>
        </w:rPr>
        <w:noBreakHyphen/>
      </w:r>
      <w:r w:rsidRPr="00746C9F">
        <w:rPr>
          <w:color w:val="000000" w:themeColor="text1"/>
          <w:u w:color="000000" w:themeColor="text1"/>
        </w:rPr>
        <w:t>10</w:t>
      </w:r>
      <w:r w:rsidR="00DA2587">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DA2587">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sidR="00DA2587">
        <w:rPr>
          <w:color w:val="000000" w:themeColor="text1"/>
          <w:u w:color="000000" w:themeColor="text1"/>
        </w:rPr>
        <w:noBreakHyphen/>
      </w:r>
      <w:r w:rsidRPr="00746C9F">
        <w:rPr>
          <w:color w:val="000000" w:themeColor="text1"/>
          <w:u w:color="000000" w:themeColor="text1"/>
        </w:rPr>
        <w:t>14</w:t>
      </w:r>
      <w:r w:rsidR="00DA2587">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sidR="00DA2587">
        <w:rPr>
          <w:color w:val="000000" w:themeColor="text1"/>
          <w:u w:color="000000" w:themeColor="text1"/>
        </w:rPr>
        <w:noBreakHyphen/>
      </w:r>
      <w:r w:rsidRPr="00746C9F">
        <w:rPr>
          <w:color w:val="000000" w:themeColor="text1"/>
          <w:u w:color="000000" w:themeColor="text1"/>
        </w:rPr>
        <w:t>36</w:t>
      </w:r>
      <w:r w:rsidR="00DA2587">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w:t>
      </w:r>
      <w:r w:rsidRPr="00746C9F">
        <w:rPr>
          <w:color w:val="000000" w:themeColor="text1"/>
          <w:u w:color="000000" w:themeColor="text1"/>
        </w:rPr>
        <w:lastRenderedPageBreak/>
        <w:t>DOLLARS IN A PORT ENHANCEMENT ZONE, AND TO EXTEND THE EXEMPTION FOR CONSTRUCTION MATERIALS TO A TAXPAYER THAT INVESTS AT LEAST FORTY MILLION DOLLARS, IN REAL AND PERSONAL PROPERTY, IN A PORT ENHANCEMENT ZONE.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24B" w:rsidRDefault="00EF5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24B" w:rsidRDefault="00EF5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6C9F">
        <w:rPr>
          <w:color w:val="000000" w:themeColor="text1"/>
          <w:u w:color="000000" w:themeColor="text1"/>
        </w:rPr>
        <w:t>This act may be cited as the “Port Enhancement Zone Act”.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3360(E)(1) of the 1976 Code is amended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DA2587">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3360(M) of the 1976 Code is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 )</w:t>
      </w:r>
      <w:r w:rsidRPr="007D4AEF">
        <w:rPr>
          <w:color w:val="000000" w:themeColor="text1"/>
          <w:u w:color="000000" w:themeColor="text1"/>
        </w:rPr>
        <w:tab/>
        <w:t xml:space="preserve">‘Port enhancement zone’ means an area that as of </w:t>
      </w:r>
      <w:r>
        <w:rPr>
          <w:color w:val="000000" w:themeColor="text1"/>
          <w:u w:color="000000" w:themeColor="text1"/>
        </w:rPr>
        <w:t>January 1</w:t>
      </w:r>
      <w:r w:rsidRPr="007D4AEF">
        <w:rPr>
          <w:color w:val="000000" w:themeColor="text1"/>
          <w:u w:color="000000" w:themeColor="text1"/>
        </w:rPr>
        <w:t>, 2015, meets all of the following conditions: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Pr="00E54963">
        <w:rPr>
          <w:color w:val="000000" w:themeColor="text1"/>
          <w:u w:color="000000" w:themeColor="text1"/>
        </w:rPr>
        <w:t>’</w:t>
      </w:r>
      <w:r w:rsidRPr="00746C9F">
        <w:rPr>
          <w:color w:val="000000" w:themeColor="text1"/>
          <w:u w:color="000000" w:themeColor="text1"/>
        </w:rPr>
        <w:t>s American Community Survey in 2014;</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sidR="00DA2587">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all of the area is in a county ranked as either Tier III or IV, provided that a census tract in a Tier I or II county with at least thirty</w:t>
      </w:r>
      <w:r w:rsidR="00DA2587">
        <w:rPr>
          <w:color w:val="000000" w:themeColor="text1"/>
          <w:u w:color="000000" w:themeColor="text1"/>
        </w:rPr>
        <w:noBreakHyphen/>
      </w:r>
      <w:r w:rsidRPr="00746C9F">
        <w:rPr>
          <w:color w:val="000000" w:themeColor="text1"/>
          <w:u w:color="000000" w:themeColor="text1"/>
        </w:rPr>
        <w:t xml:space="preserve">five percent of households with incomes of fifteen thousand </w:t>
      </w:r>
      <w:r w:rsidRPr="00746C9F">
        <w:rPr>
          <w:color w:val="000000" w:themeColor="text1"/>
          <w:u w:color="000000" w:themeColor="text1"/>
        </w:rPr>
        <w:lastRenderedPageBreak/>
        <w:t>or less also qualifies if it meets all of the other conditions of this subsection.</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sidR="00DA2587">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3367(A) and (B) of the 1976 Code are amended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sidR="00DA2587">
        <w:rPr>
          <w:color w:val="000000" w:themeColor="text1"/>
          <w:u w:color="000000" w:themeColor="text1"/>
        </w:rPr>
        <w:noBreakHyphen/>
      </w:r>
      <w:r w:rsidRPr="00746C9F">
        <w:rPr>
          <w:color w:val="000000" w:themeColor="text1"/>
          <w:u w:color="000000" w:themeColor="text1"/>
        </w:rPr>
        <w:t>time new jobs, as defined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3360(M), at a facility of a type identified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DA2587">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DA2587">
        <w:rPr>
          <w:color w:val="000000" w:themeColor="text1"/>
          <w:u w:val="single" w:color="000000" w:themeColor="text1"/>
        </w:rPr>
        <w:noBreakHyphen/>
      </w:r>
      <w:r w:rsidRPr="00746C9F">
        <w:rPr>
          <w:color w:val="000000" w:themeColor="text1"/>
          <w:u w:val="single" w:color="000000" w:themeColor="text1"/>
        </w:rPr>
        <w:t>6</w:t>
      </w:r>
      <w:r w:rsidR="00DA2587">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sidR="00DA2587">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Pr>
          <w:color w:val="000000" w:themeColor="text1"/>
          <w:u w:val="single" w:color="000000" w:themeColor="text1"/>
        </w:rPr>
        <w:t xml:space="preserve">new </w:t>
      </w:r>
      <w:r w:rsidRPr="00746C9F">
        <w:rPr>
          <w:color w:val="000000" w:themeColor="text1"/>
          <w:u w:val="single" w:color="000000" w:themeColor="text1"/>
        </w:rPr>
        <w:t>full</w:t>
      </w:r>
      <w:r w:rsidR="00DA2587">
        <w:rPr>
          <w:color w:val="000000" w:themeColor="text1"/>
          <w:u w:val="single" w:color="000000" w:themeColor="text1"/>
        </w:rPr>
        <w:noBreakHyphen/>
      </w:r>
      <w:r>
        <w:rPr>
          <w:color w:val="000000" w:themeColor="text1"/>
          <w:u w:val="single" w:color="000000" w:themeColor="text1"/>
        </w:rPr>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t>(B)(1)</w:t>
      </w:r>
      <w:r w:rsidRPr="00746C9F">
        <w:rPr>
          <w:color w:val="000000" w:themeColor="text1"/>
          <w:u w:color="000000" w:themeColor="text1"/>
        </w:rPr>
        <w:tab/>
        <w:t>To qualify for the moratorium pursuant to subsection (A), a taxpayer shall:</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DA2587">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DA2587">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DA2587">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DA2587">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DA2587">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sidR="00DA2587">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3375 of the 1976 Code is amended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 xml:space="preserve">A taxpayer engaged in any of the following: manufacturing, warehousing, freight forwarding, freight </w:t>
      </w:r>
      <w:r w:rsidRPr="00746C9F">
        <w:rPr>
          <w:color w:val="000000" w:themeColor="text1"/>
          <w:u w:color="000000" w:themeColor="text1"/>
        </w:rPr>
        <w:lastRenderedPageBreak/>
        <w:t>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530 and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 xml:space="preserve">the amount of the increase in port cargo volume for the taxable year stated both as a percentage increase and as a total </w:t>
      </w:r>
      <w:r w:rsidRPr="00746C9F">
        <w:rPr>
          <w:color w:val="000000" w:themeColor="text1"/>
          <w:u w:color="000000" w:themeColor="text1"/>
        </w:rPr>
        <w:lastRenderedPageBreak/>
        <w:t>increase in net tons of non</w:t>
      </w:r>
      <w:r w:rsidR="00DA2587">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TEU</w:t>
      </w:r>
      <w:r w:rsidRPr="00E54963">
        <w:rPr>
          <w:color w:val="000000" w:themeColor="text1"/>
          <w:u w:color="000000" w:themeColor="text1"/>
        </w:rPr>
        <w:t>’</w:t>
      </w:r>
      <w:r w:rsidRPr="00746C9F">
        <w:rPr>
          <w:color w:val="000000" w:themeColor="text1"/>
          <w:u w:color="000000" w:themeColor="text1"/>
        </w:rPr>
        <w:t xml:space="preserve"> means a twenty</w:t>
      </w:r>
      <w:r w:rsidR="00DA2587">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Pr="00E54963">
        <w:rPr>
          <w:color w:val="000000" w:themeColor="text1"/>
          <w:u w:color="000000" w:themeColor="text1"/>
        </w:rPr>
        <w:t>‘</w:t>
      </w:r>
      <w:r w:rsidRPr="00746C9F">
        <w:rPr>
          <w:color w:val="000000" w:themeColor="text1"/>
          <w:u w:color="000000" w:themeColor="text1"/>
        </w:rPr>
        <w:t>weighted TEU</w:t>
      </w:r>
      <w:r w:rsidRPr="00E54963">
        <w:rPr>
          <w:color w:val="000000" w:themeColor="text1"/>
          <w:u w:color="000000" w:themeColor="text1"/>
        </w:rPr>
        <w:t>’</w:t>
      </w:r>
      <w:r w:rsidRPr="00746C9F">
        <w:rPr>
          <w:color w:val="000000" w:themeColor="text1"/>
          <w:u w:color="000000" w:themeColor="text1"/>
        </w:rPr>
        <w:t xml:space="preserve"> is equal to seven and one</w:t>
      </w:r>
      <w:r w:rsidR="00DA2587">
        <w:rPr>
          <w:color w:val="000000" w:themeColor="text1"/>
          <w:u w:color="000000" w:themeColor="text1"/>
        </w:rPr>
        <w:noBreakHyphen/>
      </w:r>
      <w:r w:rsidRPr="00746C9F">
        <w:rPr>
          <w:color w:val="000000" w:themeColor="text1"/>
          <w:u w:color="000000" w:themeColor="text1"/>
        </w:rPr>
        <w:t xml:space="preserve">half tons.  A </w:t>
      </w:r>
      <w:r w:rsidRPr="00E54963">
        <w:rPr>
          <w:color w:val="000000" w:themeColor="text1"/>
          <w:u w:color="000000" w:themeColor="text1"/>
        </w:rPr>
        <w:t>‘</w:t>
      </w:r>
      <w:r w:rsidRPr="00746C9F">
        <w:rPr>
          <w:color w:val="000000" w:themeColor="text1"/>
          <w:u w:color="000000" w:themeColor="text1"/>
        </w:rPr>
        <w:t>measured TEU</w:t>
      </w:r>
      <w:r w:rsidRPr="00E54963">
        <w:rPr>
          <w:color w:val="000000" w:themeColor="text1"/>
          <w:u w:color="000000" w:themeColor="text1"/>
        </w:rPr>
        <w:t>’</w:t>
      </w:r>
      <w:r w:rsidRPr="00746C9F">
        <w:rPr>
          <w:color w:val="000000" w:themeColor="text1"/>
          <w:u w:color="000000" w:themeColor="text1"/>
        </w:rPr>
        <w:t xml:space="preserve"> is equal to thirty</w:t>
      </w:r>
      <w:r w:rsidR="00DA2587">
        <w:rPr>
          <w:color w:val="000000" w:themeColor="text1"/>
          <w:u w:color="000000" w:themeColor="text1"/>
        </w:rPr>
        <w:noBreakHyphen/>
      </w:r>
      <w:r w:rsidRPr="00746C9F">
        <w:rPr>
          <w:color w:val="000000" w:themeColor="text1"/>
          <w:u w:color="000000" w:themeColor="text1"/>
        </w:rPr>
        <w:t>eight and one</w:t>
      </w:r>
      <w:r w:rsidR="00DA2587">
        <w:rPr>
          <w:color w:val="000000" w:themeColor="text1"/>
          <w:u w:color="000000" w:themeColor="text1"/>
        </w:rPr>
        <w:noBreakHyphen/>
      </w:r>
      <w:r w:rsidRPr="00746C9F">
        <w:rPr>
          <w:color w:val="000000" w:themeColor="text1"/>
          <w:u w:color="000000" w:themeColor="text1"/>
        </w:rPr>
        <w:t>half cubic meters.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Base year port cargo volume</w:t>
      </w:r>
      <w:r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sidR="00DA2587">
        <w:rPr>
          <w:color w:val="000000" w:themeColor="text1"/>
          <w:u w:color="000000" w:themeColor="text1"/>
        </w:rPr>
        <w:noBreakHyphen/>
      </w:r>
      <w:r w:rsidRPr="00746C9F">
        <w:rPr>
          <w:color w:val="000000" w:themeColor="text1"/>
          <w:u w:color="000000" w:themeColor="text1"/>
        </w:rPr>
        <w:t>containerized cargo, measured equivalent of non</w:t>
      </w:r>
      <w:r w:rsidR="00DA2587">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DA2587">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DA2587">
        <w:rPr>
          <w:color w:val="000000" w:themeColor="text1"/>
          <w:u w:color="000000" w:themeColor="text1"/>
        </w:rPr>
        <w:noBreakHyphen/>
      </w:r>
      <w:r w:rsidRPr="00746C9F">
        <w:rPr>
          <w:color w:val="000000" w:themeColor="text1"/>
          <w:u w:color="000000" w:themeColor="text1"/>
        </w:rPr>
        <w:t>five net tons of non</w:t>
      </w:r>
      <w:r w:rsidR="00DA2587">
        <w:rPr>
          <w:color w:val="000000" w:themeColor="text1"/>
          <w:u w:color="000000" w:themeColor="text1"/>
        </w:rPr>
        <w:noBreakHyphen/>
      </w:r>
      <w:r w:rsidRPr="00746C9F">
        <w:rPr>
          <w:color w:val="000000" w:themeColor="text1"/>
          <w:u w:color="000000" w:themeColor="text1"/>
        </w:rPr>
        <w:t>containerized cargo, three hundred eighty</w:t>
      </w:r>
      <w:r w:rsidR="00DA2587">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DA2587">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DA2587">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DA2587">
        <w:rPr>
          <w:color w:val="000000" w:themeColor="text1"/>
          <w:u w:color="000000" w:themeColor="text1"/>
        </w:rPr>
        <w:noBreakHyphen/>
      </w:r>
      <w:r w:rsidRPr="00746C9F">
        <w:rPr>
          <w:color w:val="000000" w:themeColor="text1"/>
          <w:u w:color="000000" w:themeColor="text1"/>
        </w:rPr>
        <w:t>first calendar year in which it meets the requirements of seventy</w:t>
      </w:r>
      <w:r w:rsidR="00DA2587">
        <w:rPr>
          <w:color w:val="000000" w:themeColor="text1"/>
          <w:u w:color="000000" w:themeColor="text1"/>
        </w:rPr>
        <w:noBreakHyphen/>
      </w:r>
      <w:r w:rsidRPr="00746C9F">
        <w:rPr>
          <w:color w:val="000000" w:themeColor="text1"/>
          <w:u w:color="000000" w:themeColor="text1"/>
        </w:rPr>
        <w:t>five net tons of non</w:t>
      </w:r>
      <w:r w:rsidR="00DA2587">
        <w:rPr>
          <w:color w:val="000000" w:themeColor="text1"/>
          <w:u w:color="000000" w:themeColor="text1"/>
        </w:rPr>
        <w:noBreakHyphen/>
      </w:r>
      <w:r w:rsidRPr="00746C9F">
        <w:rPr>
          <w:color w:val="000000" w:themeColor="text1"/>
          <w:u w:color="000000" w:themeColor="text1"/>
        </w:rPr>
        <w:t>containerized cargo, three hundred eighty</w:t>
      </w:r>
      <w:r w:rsidR="00DA2587">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facility</w:t>
      </w:r>
      <w:r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Pr="00E54963">
        <w:rPr>
          <w:color w:val="000000" w:themeColor="text1"/>
          <w:u w:color="000000" w:themeColor="text1"/>
        </w:rPr>
        <w:t>’</w:t>
      </w:r>
      <w:r w:rsidRPr="00746C9F">
        <w:rPr>
          <w:color w:val="000000" w:themeColor="text1"/>
          <w:u w:color="000000" w:themeColor="text1"/>
        </w:rPr>
        <w:t>s owner.</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cargo volume</w:t>
      </w:r>
      <w:r w:rsidRPr="00E54963">
        <w:rPr>
          <w:color w:val="000000" w:themeColor="text1"/>
          <w:u w:color="000000" w:themeColor="text1"/>
        </w:rPr>
        <w:t>’</w:t>
      </w:r>
      <w:r w:rsidRPr="00746C9F">
        <w:rPr>
          <w:color w:val="000000" w:themeColor="text1"/>
          <w:u w:color="000000" w:themeColor="text1"/>
        </w:rPr>
        <w:t xml:space="preserve"> means the total amount of net tons of non</w:t>
      </w:r>
      <w:r w:rsidR="00DA2587">
        <w:rPr>
          <w:color w:val="000000" w:themeColor="text1"/>
          <w:u w:color="000000" w:themeColor="text1"/>
        </w:rPr>
        <w:noBreakHyphen/>
      </w:r>
      <w:r w:rsidRPr="00746C9F">
        <w:rPr>
          <w:color w:val="000000" w:themeColor="text1"/>
          <w:u w:color="000000" w:themeColor="text1"/>
        </w:rPr>
        <w:t>containerized cargo or containers measured in twenty</w:t>
      </w:r>
      <w:r w:rsidR="00DA2587">
        <w:rPr>
          <w:color w:val="000000" w:themeColor="text1"/>
          <w:u w:color="000000" w:themeColor="text1"/>
        </w:rPr>
        <w:noBreakHyphen/>
      </w:r>
      <w:r w:rsidRPr="00746C9F">
        <w:rPr>
          <w:color w:val="000000" w:themeColor="text1"/>
          <w:u w:color="000000" w:themeColor="text1"/>
        </w:rPr>
        <w:t xml:space="preserve">foot </w:t>
      </w:r>
      <w:r w:rsidRPr="00746C9F">
        <w:rPr>
          <w:color w:val="000000" w:themeColor="text1"/>
          <w:u w:color="000000" w:themeColor="text1"/>
        </w:rPr>
        <w:lastRenderedPageBreak/>
        <w:t>equivalent units (TEUs) of cargo transported by way of a waterborne ship or vehicle through a port facility, or measured cubic meters of cargo.</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DA2587">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DA2587">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DA2587">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DA2587">
        <w:rPr>
          <w:color w:val="000000" w:themeColor="text1"/>
          <w:u w:val="single" w:color="000000" w:themeColor="text1"/>
        </w:rPr>
        <w:noBreakHyphen/>
      </w:r>
      <w:r w:rsidRPr="00746C9F">
        <w:rPr>
          <w:color w:val="000000" w:themeColor="text1"/>
          <w:u w:val="single" w:color="000000" w:themeColor="text1"/>
        </w:rPr>
        <w:t>6</w:t>
      </w:r>
      <w:r w:rsidR="00DA2587">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DA2587">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Pr="00E54963">
        <w:rPr>
          <w:color w:val="000000" w:themeColor="text1"/>
          <w:u w:val="single" w:color="000000" w:themeColor="text1"/>
        </w:rPr>
        <w:t>’</w:t>
      </w:r>
      <w:r w:rsidRPr="00746C9F">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Pr="00E54963">
        <w:rPr>
          <w:color w:val="000000" w:themeColor="text1"/>
          <w:u w:color="000000" w:themeColor="text1"/>
        </w:rPr>
        <w:t>’</w:t>
      </w:r>
      <w:r w:rsidRPr="00746C9F">
        <w:rPr>
          <w:color w:val="000000" w:themeColor="text1"/>
          <w:u w:color="000000" w:themeColor="text1"/>
        </w:rPr>
        <w:t xml:space="preserve">s port facilities may be eligible for the port volume tax credit if the cargo supports a presence in the State and the taxpayer does not have a distribution center in the State </w:t>
      </w:r>
      <w:r w:rsidRPr="00746C9F">
        <w:rPr>
          <w:color w:val="000000" w:themeColor="text1"/>
          <w:u w:color="000000" w:themeColor="text1"/>
        </w:rPr>
        <w:lastRenderedPageBreak/>
        <w:t>at the time of initial approval of the port volume tax credit, so long as:</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Pr>
          <w:color w:val="000000" w:themeColor="text1"/>
          <w:u w:color="000000" w:themeColor="text1"/>
        </w:rPr>
        <w:t xml:space="preserve">er employs at least two hundred </w:t>
      </w:r>
      <w:r w:rsidRPr="00B35FF5">
        <w:rPr>
          <w:strike/>
          <w:color w:val="000000" w:themeColor="text1"/>
          <w:u w:color="000000" w:themeColor="text1"/>
        </w:rPr>
        <w:t>and</w:t>
      </w:r>
      <w:r>
        <w:rPr>
          <w:color w:val="000000" w:themeColor="text1"/>
          <w:u w:color="000000" w:themeColor="text1"/>
        </w:rPr>
        <w:t xml:space="preserve"> </w:t>
      </w:r>
      <w:r w:rsidRPr="00746C9F">
        <w:rPr>
          <w:color w:val="000000" w:themeColor="text1"/>
          <w:u w:color="000000" w:themeColor="text1"/>
        </w:rPr>
        <w:t>fifty full</w:t>
      </w:r>
      <w:r w:rsidR="00DA2587">
        <w:rPr>
          <w:color w:val="000000" w:themeColor="text1"/>
          <w:u w:color="000000" w:themeColor="text1"/>
        </w:rPr>
        <w:noBreakHyphen/>
      </w:r>
      <w:r w:rsidRPr="00746C9F">
        <w:rPr>
          <w:color w:val="000000" w:themeColor="text1"/>
          <w:u w:color="000000" w:themeColor="text1"/>
        </w:rPr>
        <w:t>time or full</w:t>
      </w:r>
      <w:r w:rsidR="00DA2587">
        <w:rPr>
          <w:color w:val="000000" w:themeColor="text1"/>
          <w:u w:color="000000" w:themeColor="text1"/>
        </w:rPr>
        <w:noBreakHyphen/>
      </w:r>
      <w:r w:rsidRPr="00746C9F">
        <w:rPr>
          <w:color w:val="000000" w:themeColor="text1"/>
          <w:u w:color="000000" w:themeColor="text1"/>
        </w:rPr>
        <w:t>time equivalent South Carolinians in operations statewide;</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DA2587">
        <w:rPr>
          <w:color w:val="000000" w:themeColor="text1"/>
          <w:u w:color="000000" w:themeColor="text1"/>
        </w:rPr>
        <w:noBreakHyphen/>
      </w:r>
      <w:r w:rsidRPr="00746C9F">
        <w:rPr>
          <w:color w:val="000000" w:themeColor="text1"/>
          <w:u w:color="000000" w:themeColor="text1"/>
        </w:rPr>
        <w:t>containerized equivalent.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DA2587">
        <w:rPr>
          <w:color w:val="000000" w:themeColor="text1"/>
          <w:u w:color="000000" w:themeColor="text1"/>
        </w:rPr>
        <w:noBreakHyphen/>
      </w:r>
      <w:r w:rsidRPr="00746C9F">
        <w:rPr>
          <w:color w:val="000000" w:themeColor="text1"/>
          <w:u w:color="000000" w:themeColor="text1"/>
        </w:rPr>
        <w:t>54</w:t>
      </w:r>
      <w:r w:rsidR="00DA2587">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DA2587">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DA2587">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10</w:t>
      </w:r>
      <w:r w:rsidR="00DA2587">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DA2587">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3360(M).”</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DA2587">
        <w:rPr>
          <w:color w:val="000000" w:themeColor="text1"/>
          <w:u w:color="000000" w:themeColor="text1"/>
        </w:rPr>
        <w:noBreakHyphen/>
      </w:r>
      <w:r w:rsidRPr="00746C9F">
        <w:rPr>
          <w:color w:val="000000" w:themeColor="text1"/>
          <w:u w:color="000000" w:themeColor="text1"/>
        </w:rPr>
        <w:t>14</w:t>
      </w:r>
      <w:r w:rsidR="00DA2587">
        <w:rPr>
          <w:color w:val="000000" w:themeColor="text1"/>
          <w:u w:color="000000" w:themeColor="text1"/>
        </w:rPr>
        <w:noBreakHyphen/>
      </w:r>
      <w:r w:rsidRPr="00746C9F">
        <w:rPr>
          <w:color w:val="000000" w:themeColor="text1"/>
          <w:u w:color="000000" w:themeColor="text1"/>
        </w:rPr>
        <w:t>60(A) of the 1976 Code, is amended by adding a new item to read:</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DA2587">
        <w:rPr>
          <w:color w:val="000000" w:themeColor="text1"/>
          <w:u w:color="000000" w:themeColor="text1"/>
        </w:rPr>
        <w:noBreakHyphen/>
      </w:r>
      <w:r w:rsidRPr="00746C9F">
        <w:rPr>
          <w:color w:val="000000" w:themeColor="text1"/>
          <w:u w:color="000000" w:themeColor="text1"/>
        </w:rPr>
        <w:t>6</w:t>
      </w:r>
      <w:r w:rsidR="00DA2587">
        <w:rPr>
          <w:color w:val="000000" w:themeColor="text1"/>
          <w:u w:color="000000" w:themeColor="text1"/>
        </w:rPr>
        <w:noBreakHyphen/>
      </w:r>
      <w:r w:rsidRPr="00746C9F">
        <w:rPr>
          <w:color w:val="000000" w:themeColor="text1"/>
          <w:u w:color="000000" w:themeColor="text1"/>
        </w:rPr>
        <w:t>3360(M).”</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DA2587">
        <w:rPr>
          <w:color w:val="000000" w:themeColor="text1"/>
          <w:u w:color="000000" w:themeColor="text1"/>
        </w:rPr>
        <w:noBreakHyphen/>
      </w:r>
      <w:r w:rsidRPr="003A7BFF">
        <w:rPr>
          <w:color w:val="000000" w:themeColor="text1"/>
          <w:u w:color="000000" w:themeColor="text1"/>
        </w:rPr>
        <w:t>36</w:t>
      </w:r>
      <w:r w:rsidR="00DA2587">
        <w:rPr>
          <w:color w:val="000000" w:themeColor="text1"/>
          <w:u w:color="000000" w:themeColor="text1"/>
        </w:rPr>
        <w:noBreakHyphen/>
      </w:r>
      <w:r w:rsidRPr="003A7BFF">
        <w:rPr>
          <w:color w:val="000000" w:themeColor="text1"/>
          <w:u w:color="000000" w:themeColor="text1"/>
        </w:rPr>
        <w:t>2120(51) and (67) of the 1976 Code is amended to read:</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DA2587">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 port enhancement zone as defined in Section 12</w:t>
      </w:r>
      <w:r w:rsidR="00DA2587">
        <w:rPr>
          <w:color w:val="000000" w:themeColor="text1"/>
          <w:u w:val="single" w:color="000000" w:themeColor="text1"/>
        </w:rPr>
        <w:noBreakHyphen/>
      </w:r>
      <w:r w:rsidRPr="003A7BFF">
        <w:rPr>
          <w:color w:val="000000" w:themeColor="text1"/>
          <w:u w:val="single" w:color="000000" w:themeColor="text1"/>
        </w:rPr>
        <w:t>6</w:t>
      </w:r>
      <w:r w:rsidR="00DA2587">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DA2587">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DA258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DA258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department may assess any tax due on material handling systems and material handling equipment purchased tax</w:t>
      </w:r>
      <w:r w:rsidR="00DA2587">
        <w:rPr>
          <w:color w:val="000000" w:themeColor="text1"/>
          <w:u w:color="000000" w:themeColor="text1"/>
        </w:rPr>
        <w:noBreakHyphen/>
      </w:r>
      <w:r w:rsidRPr="003A7BFF">
        <w:rPr>
          <w:color w:val="000000" w:themeColor="text1"/>
          <w:u w:color="000000" w:themeColor="text1"/>
        </w:rPr>
        <w:t xml:space="preserve">free pursuant to this item but due the State as a result of the taxpayer’s failure to meet the </w:t>
      </w:r>
      <w:r w:rsidRPr="003A7BFF">
        <w:rPr>
          <w:strike/>
          <w:color w:val="000000" w:themeColor="text1"/>
          <w:u w:color="000000" w:themeColor="text1"/>
        </w:rPr>
        <w:t>thirty</w:t>
      </w:r>
      <w:r w:rsidR="00DA258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DA2587">
        <w:rPr>
          <w:color w:val="000000" w:themeColor="text1"/>
          <w:u w:color="000000" w:themeColor="text1"/>
        </w:rPr>
        <w:noBreakHyphen/>
      </w:r>
      <w:r w:rsidRPr="003A7BFF">
        <w:rPr>
          <w:color w:val="000000" w:themeColor="text1"/>
          <w:u w:color="000000" w:themeColor="text1"/>
        </w:rPr>
        <w:t>54</w:t>
      </w:r>
      <w:r w:rsidR="00DA2587">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DA2587">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bookmarkStart w:id="5" w:name="temp"/>
      <w:bookmarkEnd w:id="5"/>
    </w:p>
    <w:p w:rsidR="00A95FCD"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As used in this item (51), ‘distribution facility’ includes a port facility, as that term is defined in Section 12-6-3375</w:t>
      </w:r>
      <w:r w:rsidRPr="003A7BFF">
        <w:rPr>
          <w:color w:val="000000" w:themeColor="text1"/>
          <w:u w:color="000000" w:themeColor="text1"/>
        </w:rPr>
        <w: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3A7BFF">
        <w:rPr>
          <w:color w:val="000000" w:themeColor="text1"/>
          <w:u w:color="000000" w:themeColor="text1"/>
        </w:rPr>
        <w:t>effective July 1, 2011,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DA2587">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at least forty million dollars in real and personal property at a single site located in a port enhancement zone as defined in Section 12</w:t>
      </w:r>
      <w:r w:rsidR="00DA2587">
        <w:rPr>
          <w:color w:val="000000" w:themeColor="text1"/>
          <w:u w:val="single" w:color="000000" w:themeColor="text1"/>
        </w:rPr>
        <w:noBreakHyphen/>
      </w:r>
      <w:r w:rsidRPr="003A7BFF">
        <w:rPr>
          <w:color w:val="000000" w:themeColor="text1"/>
          <w:u w:val="single" w:color="000000" w:themeColor="text1"/>
        </w:rPr>
        <w:t>6</w:t>
      </w:r>
      <w:r w:rsidR="00DA2587">
        <w:rPr>
          <w:color w:val="000000" w:themeColor="text1"/>
          <w:u w:val="single" w:color="000000" w:themeColor="text1"/>
        </w:rPr>
        <w:noBreakHyphen/>
      </w:r>
      <w:r w:rsidRPr="003A7BFF">
        <w:rPr>
          <w:color w:val="000000" w:themeColor="text1"/>
          <w:u w:val="single" w:color="000000" w:themeColor="text1"/>
        </w:rPr>
        <w:t>3360(M); or</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effective November 1, 2009, construction materials used in the construction of a new or expanded single manufacturing facility where:</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lastRenderedPageBreak/>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DA2587">
        <w:rPr>
          <w:color w:val="000000" w:themeColor="text1"/>
          <w:u w:color="000000" w:themeColor="text1"/>
        </w:rPr>
        <w:noBreakHyphen/>
      </w:r>
      <w:r w:rsidRPr="003A7BFF">
        <w:rPr>
          <w:color w:val="000000" w:themeColor="text1"/>
          <w:u w:color="000000" w:themeColor="text1"/>
        </w:rPr>
        <w:t>year period;  and</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DA2587">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DA2587">
        <w:rPr>
          <w:color w:val="000000" w:themeColor="text1"/>
          <w:u w:color="000000" w:themeColor="text1"/>
        </w:rPr>
        <w:noBreakHyphen/>
      </w:r>
      <w:r w:rsidRPr="003A7BFF">
        <w:rPr>
          <w:color w:val="000000" w:themeColor="text1"/>
          <w:u w:color="000000" w:themeColor="text1"/>
        </w:rPr>
        <w:t>year period.</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00DA2587">
        <w:rPr>
          <w:color w:val="000000" w:themeColor="text1"/>
          <w:u w:color="000000" w:themeColor="text1"/>
        </w:rPr>
        <w:noBreakHyphen/>
      </w:r>
      <w:r w:rsidRPr="003A7BFF">
        <w:rPr>
          <w:color w:val="000000" w:themeColor="text1"/>
          <w:u w:color="000000" w:themeColor="text1"/>
        </w:rPr>
        <w:t>54</w:t>
      </w:r>
      <w:r w:rsidR="00DA2587">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A95FCD" w:rsidRPr="003A7BF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As used in this subitem, ‘taxpayer’ includes a person who bears a relationship to the taxpayer as described in Section 267(b) of the Internal Revenue Code</w:t>
      </w:r>
      <w:r w:rsidRPr="003A7BFF">
        <w:rPr>
          <w:color w:val="000000" w:themeColor="text1"/>
          <w:u w:val="single"/>
        </w:rPr>
        <w:t>.</w:t>
      </w:r>
    </w:p>
    <w:p w:rsidR="00A95FCD" w:rsidRPr="00746C9F"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As used in this item (</w:t>
      </w:r>
      <w:r>
        <w:rPr>
          <w:color w:val="000000" w:themeColor="text1"/>
          <w:u w:val="single"/>
        </w:rPr>
        <w:t>67</w:t>
      </w:r>
      <w:r w:rsidRPr="003A7BFF">
        <w:rPr>
          <w:color w:val="000000" w:themeColor="text1"/>
          <w:u w:val="single"/>
        </w:rPr>
        <w:t>), ‘distribution facility’ includes a port facility, as that term is defined in Section 12-6-3375</w:t>
      </w:r>
      <w:r w:rsidRPr="003A7BFF">
        <w:rPr>
          <w:color w:val="000000" w:themeColor="text1"/>
          <w:u w:color="000000" w:themeColor="text1"/>
        </w:rPr>
        <w:t>;”</w:t>
      </w:r>
    </w:p>
    <w:p w:rsidR="00A95FCD"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24B" w:rsidRDefault="00A95FCD" w:rsidP="00A9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FC0614" w:rsidRDefault="00DA25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6E0B" w:rsidRDefault="00546E0B" w:rsidP="00546E0B">
      <w:pPr>
        <w:suppressAutoHyphens/>
      </w:pPr>
    </w:p>
    <w:sectPr w:rsidR="00546E0B" w:rsidSect="00546E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24B" w:rsidRDefault="00EF524B" w:rsidP="009F0C77">
      <w:r>
        <w:separator/>
      </w:r>
    </w:p>
  </w:endnote>
  <w:endnote w:type="continuationSeparator" w:id="0">
    <w:p w:rsidR="00EF524B" w:rsidRDefault="00EF5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607973-7B34-4FE4-97EA-3C984762892F}"/>
    <w:embedBold r:id="rId2" w:fontKey="{1CAD5049-8CA1-45F5-B39C-50D04B37FB01}"/>
  </w:font>
  <w:font w:name="Calibri">
    <w:panose1 w:val="020F0502020204030204"/>
    <w:charset w:val="00"/>
    <w:family w:val="swiss"/>
    <w:pitch w:val="variable"/>
    <w:sig w:usb0="E00002FF" w:usb1="4000ACFF" w:usb2="00000001" w:usb3="00000000" w:csb0="0000019F" w:csb1="00000000"/>
    <w:embedRegular r:id="rId3" w:fontKey="{5F50EF10-0C82-400B-A4A6-105F61352F64}"/>
  </w:font>
  <w:font w:name="Segoe UI">
    <w:panose1 w:val="020B0502040204020203"/>
    <w:charset w:val="00"/>
    <w:family w:val="swiss"/>
    <w:pitch w:val="variable"/>
    <w:sig w:usb0="E10022FF" w:usb1="C000E47F" w:usb2="00000029" w:usb3="00000000" w:csb0="000001DF" w:csb1="00000000"/>
    <w:embedRegular r:id="rId4" w:fontKey="{2859DC40-01DF-46A6-BDF8-98DBC3FA12C5}"/>
  </w:font>
  <w:font w:name="Cambria">
    <w:panose1 w:val="02040503050406030204"/>
    <w:charset w:val="00"/>
    <w:family w:val="roman"/>
    <w:pitch w:val="variable"/>
    <w:sig w:usb0="E00002FF" w:usb1="400004FF" w:usb2="00000000" w:usb3="00000000" w:csb0="0000019F" w:csb1="00000000"/>
    <w:embedRegular r:id="rId5" w:fontKey="{3536BC52-5B7F-4B21-A63F-B90FBBFD8E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614" w:rsidRPr="00546E0B" w:rsidRDefault="00546E0B" w:rsidP="00546E0B">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24B" w:rsidRDefault="00EF524B" w:rsidP="009F0C77">
      <w:r>
        <w:separator/>
      </w:r>
    </w:p>
  </w:footnote>
  <w:footnote w:type="continuationSeparator" w:id="0">
    <w:p w:rsidR="00EF524B" w:rsidRDefault="00EF5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3DG19"/>
    <w:docVar w:name="CoverBillType" w:val="b"/>
    <w:docVar w:name="DocPath" w:val="L:\Council\bills\NBD\11223DG19.DOCX"/>
    <w:docVar w:name="dvBillNumber" w:val="691"/>
    <w:docVar w:name="dvBillNumberPrefix" w:val="S. "/>
    <w:docVar w:name="dvOriginalBody" w:val="Senate"/>
    <w:docVar w:name="dvSteno" w:val="NBD"/>
    <w:docVar w:name="NameofBody" w:val="s"/>
    <w:docVar w:name="vGroup2" w:val="Council"/>
  </w:docVars>
  <w:rsids>
    <w:rsidRoot w:val="00EF524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08A"/>
    <w:rsid w:val="00325348"/>
    <w:rsid w:val="00393688"/>
    <w:rsid w:val="003D411E"/>
    <w:rsid w:val="003E3C1E"/>
    <w:rsid w:val="003E6148"/>
    <w:rsid w:val="003E7D04"/>
    <w:rsid w:val="00400EAA"/>
    <w:rsid w:val="0041760A"/>
    <w:rsid w:val="004203D7"/>
    <w:rsid w:val="004809EE"/>
    <w:rsid w:val="004B2A8B"/>
    <w:rsid w:val="00511EE9"/>
    <w:rsid w:val="00521E00"/>
    <w:rsid w:val="00546E0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297"/>
    <w:rsid w:val="00771EEC"/>
    <w:rsid w:val="00786819"/>
    <w:rsid w:val="00796A58"/>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5FCD"/>
    <w:rsid w:val="00A9741D"/>
    <w:rsid w:val="00AB0576"/>
    <w:rsid w:val="00AD4B17"/>
    <w:rsid w:val="00B26FA6"/>
    <w:rsid w:val="00B63A9F"/>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587"/>
    <w:rsid w:val="00DB3AC0"/>
    <w:rsid w:val="00DC6813"/>
    <w:rsid w:val="00DE68F0"/>
    <w:rsid w:val="00DF3845"/>
    <w:rsid w:val="00DF7E17"/>
    <w:rsid w:val="00EB00A2"/>
    <w:rsid w:val="00EB1BF3"/>
    <w:rsid w:val="00EF3EEE"/>
    <w:rsid w:val="00EF4877"/>
    <w:rsid w:val="00EF524B"/>
    <w:rsid w:val="00F149A7"/>
    <w:rsid w:val="00F50BAF"/>
    <w:rsid w:val="00F52C10"/>
    <w:rsid w:val="00F81FFD"/>
    <w:rsid w:val="00F85228"/>
    <w:rsid w:val="00F907F7"/>
    <w:rsid w:val="00FB6773"/>
    <w:rsid w:val="00FC0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6E918E-66BE-4B3F-B01C-FE189D6B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40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0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CAB73-BEEB-49BD-826E-C920837E3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BC81C51C.dotm</Template>
  <TotalTime>0</TotalTime>
  <Pages>10</Pages>
  <Words>3561</Words>
  <Characters>18176</Characters>
  <Application>Microsoft Office Word</Application>
  <DocSecurity>0</DocSecurity>
  <Lines>412</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691 Text of Previous Version (Mar. 21, 2019) - South Carolina Legislature Online</dc:title>
  <dc:subject/>
  <dc:creator>Niki Downey</dc:creator>
  <cp:keywords/>
  <dc:description/>
  <cp:lastModifiedBy>S Volk</cp:lastModifiedBy>
  <cp:revision>2</cp:revision>
  <cp:lastPrinted>2019-03-12T19:22:00Z</cp:lastPrinted>
  <dcterms:created xsi:type="dcterms:W3CDTF">2019-03-21T15:18:00Z</dcterms:created>
  <dcterms:modified xsi:type="dcterms:W3CDTF">2019-03-21T15:18:00Z</dcterms:modified>
</cp:coreProperties>
</file>