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0118" w:rsidRDefault="007B01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0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1485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D35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763BEB">
        <w:rPr>
          <w:rFonts w:eastAsia="Times New Roman"/>
        </w:rPr>
        <w:t xml:space="preserve">CHAPTER 6, ARTICLE 13, TITLE 61 OF </w:t>
      </w:r>
      <w:r>
        <w:rPr>
          <w:rFonts w:eastAsia="Times New Roman"/>
        </w:rPr>
        <w:t>THE CODE OF LAWS OF SOUTH CAROLINA, 1976, BY ADDING SECTION 61-6-</w:t>
      </w:r>
      <w:r w:rsidR="00763BEB">
        <w:rPr>
          <w:rFonts w:eastAsia="Times New Roman"/>
        </w:rPr>
        <w:t>4725</w:t>
      </w:r>
      <w:r w:rsidR="00DE5035">
        <w:rPr>
          <w:rFonts w:eastAsia="Times New Roman"/>
        </w:rPr>
        <w:t>,</w:t>
      </w:r>
      <w:r w:rsidR="00763BEB">
        <w:rPr>
          <w:rFonts w:eastAsia="Times New Roman"/>
        </w:rPr>
        <w:t xml:space="preserve"> RELATING TO THE ALCOHOLIC BEVERAGE CONTROL ACT,</w:t>
      </w:r>
      <w:r w:rsidR="00DE5035">
        <w:rPr>
          <w:rFonts w:eastAsia="Times New Roman"/>
        </w:rPr>
        <w:t xml:space="preserve"> SO AS TO PERMIT </w:t>
      </w:r>
      <w:r w:rsidR="00E25593">
        <w:rPr>
          <w:rFonts w:eastAsia="Times New Roman"/>
        </w:rPr>
        <w:t>CONDITIONAL</w:t>
      </w:r>
      <w:r w:rsidR="00F1733A">
        <w:rPr>
          <w:rFonts w:eastAsia="Times New Roman"/>
        </w:rPr>
        <w:t xml:space="preserve"> DISCHARGE </w:t>
      </w:r>
      <w:r w:rsidR="00E25593">
        <w:rPr>
          <w:rFonts w:eastAsia="Times New Roman"/>
        </w:rPr>
        <w:t xml:space="preserve">OF </w:t>
      </w:r>
      <w:r w:rsidR="00F1733A">
        <w:rPr>
          <w:rFonts w:eastAsia="Times New Roman"/>
        </w:rPr>
        <w:t>FIRST-TIME OFFENDERS</w:t>
      </w:r>
      <w:r w:rsidR="00A713DA">
        <w:rPr>
          <w:rFonts w:eastAsia="Times New Roman"/>
        </w:rPr>
        <w:t xml:space="preserve"> UNDER SECTION 61-6-4087 AND </w:t>
      </w:r>
      <w:r w:rsidR="00E25593">
        <w:rPr>
          <w:rFonts w:eastAsia="Times New Roman"/>
        </w:rPr>
        <w:t xml:space="preserve">TO PERMIT COUNTY AND MUNICIPAL PROSECUTORS </w:t>
      </w:r>
      <w:r w:rsidR="006E7CA9">
        <w:rPr>
          <w:rFonts w:eastAsia="Times New Roman"/>
        </w:rPr>
        <w:t xml:space="preserve">TO CONDITIONALLY DISCHARGE </w:t>
      </w:r>
      <w:r w:rsidR="00A713DA">
        <w:rPr>
          <w:rFonts w:eastAsia="Times New Roman"/>
        </w:rPr>
        <w:t>FIRST TIME OFFENDERS</w:t>
      </w:r>
      <w:r w:rsidR="00F1733A">
        <w:rPr>
          <w:rFonts w:eastAsia="Times New Roman"/>
        </w:rPr>
        <w:t xml:space="preserve"> OF COUNTY OR MUNICIPAL OPEN CONTAINER OFFENSES AND TO PERMIT EXPUNGEMENT OF SUCH OFFENSES.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1485A" w:rsidRDefault="00314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485A" w:rsidRDefault="00314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85A" w:rsidRDefault="00314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816D2">
        <w:rPr>
          <w:rFonts w:eastAsia="Times New Roman"/>
        </w:rPr>
        <w:t>Chapter 6, Article 13, Title 61 of the 1976 Code is amended by adding:</w:t>
      </w:r>
    </w:p>
    <w:p w:rsidR="001816D2" w:rsidRDefault="00181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16D2" w:rsidRPr="001816D2" w:rsidRDefault="001816D2" w:rsidP="0018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7D356F">
        <w:rPr>
          <w:rFonts w:eastAsia="Times New Roman"/>
        </w:rPr>
        <w:t>Section 61-6-4087.</w:t>
      </w:r>
      <w:r w:rsidR="007D356F">
        <w:rPr>
          <w:rFonts w:eastAsia="Times New Roman"/>
        </w:rPr>
        <w:tab/>
      </w:r>
      <w:r w:rsidR="00ED30A3">
        <w:rPr>
          <w:rFonts w:eastAsia="Times New Roman"/>
        </w:rPr>
        <w:t>(</w:t>
      </w:r>
      <w:r w:rsidR="00763BEB">
        <w:rPr>
          <w:rFonts w:eastAsia="Times New Roman"/>
        </w:rPr>
        <w:t>A)</w:t>
      </w:r>
      <w:r w:rsidR="00763BEB">
        <w:rPr>
          <w:rFonts w:eastAsia="Times New Roman"/>
        </w:rPr>
        <w:tab/>
        <w:t xml:space="preserve">A person charged with an offense under Section 61-6-4720 or </w:t>
      </w:r>
      <w:r w:rsidRPr="001816D2">
        <w:rPr>
          <w:rFonts w:eastAsia="Times New Roman"/>
        </w:rPr>
        <w:t xml:space="preserve">with transporting or possessing on his person any beer, wine or alcoholic beverage in an open container or consuming any beer, wine, or alcoholic </w:t>
      </w:r>
      <w:r w:rsidR="00AE00EE">
        <w:rPr>
          <w:rFonts w:eastAsia="Times New Roman"/>
        </w:rPr>
        <w:t xml:space="preserve">beverage upon a </w:t>
      </w:r>
      <w:r w:rsidRPr="001816D2">
        <w:rPr>
          <w:rFonts w:eastAsia="Times New Roman"/>
        </w:rPr>
        <w:t xml:space="preserve">public way, or in a public area under </w:t>
      </w:r>
      <w:r w:rsidR="00ED30A3">
        <w:rPr>
          <w:rFonts w:eastAsia="Times New Roman"/>
        </w:rPr>
        <w:t xml:space="preserve">a </w:t>
      </w:r>
      <w:r w:rsidRPr="001816D2">
        <w:rPr>
          <w:rFonts w:eastAsia="Times New Roman"/>
        </w:rPr>
        <w:t xml:space="preserve">municipal or county </w:t>
      </w:r>
      <w:r w:rsidR="00ED30A3">
        <w:rPr>
          <w:rFonts w:eastAsia="Times New Roman"/>
        </w:rPr>
        <w:t xml:space="preserve">ordinance </w:t>
      </w:r>
      <w:r w:rsidRPr="001816D2">
        <w:rPr>
          <w:rFonts w:eastAsia="Times New Roman"/>
        </w:rPr>
        <w:t xml:space="preserve">may be granted conditional discharge </w:t>
      </w:r>
      <w:r w:rsidR="00ED30A3">
        <w:rPr>
          <w:rFonts w:eastAsia="Times New Roman"/>
        </w:rPr>
        <w:t>pursuant to</w:t>
      </w:r>
      <w:r w:rsidRPr="001816D2">
        <w:rPr>
          <w:rFonts w:eastAsia="Times New Roman"/>
        </w:rPr>
        <w:t xml:space="preserve"> the provisions of this section upon approval by the</w:t>
      </w:r>
      <w:r w:rsidR="00E25593">
        <w:rPr>
          <w:rFonts w:eastAsia="Times New Roman"/>
        </w:rPr>
        <w:t xml:space="preserve"> appropriate state, county,</w:t>
      </w:r>
      <w:r w:rsidRPr="001816D2">
        <w:rPr>
          <w:rFonts w:eastAsia="Times New Roman"/>
        </w:rPr>
        <w:t xml:space="preserve"> or municipal prosecutor. </w:t>
      </w:r>
    </w:p>
    <w:p w:rsidR="00CD2263" w:rsidRDefault="001816D2" w:rsidP="0018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D30A3">
        <w:rPr>
          <w:rFonts w:eastAsia="Times New Roman"/>
        </w:rPr>
        <w:t>(</w:t>
      </w:r>
      <w:r w:rsidR="00763BEB">
        <w:rPr>
          <w:rFonts w:eastAsia="Times New Roman"/>
        </w:rPr>
        <w:t>B)</w:t>
      </w:r>
      <w:r w:rsidR="00ED30A3">
        <w:rPr>
          <w:rFonts w:eastAsia="Times New Roman"/>
        </w:rPr>
        <w:t>(1)</w:t>
      </w:r>
      <w:r w:rsidR="00763BEB">
        <w:rPr>
          <w:rFonts w:eastAsia="Times New Roman"/>
        </w:rPr>
        <w:tab/>
      </w:r>
      <w:r w:rsidRPr="001816D2">
        <w:rPr>
          <w:rFonts w:eastAsia="Times New Roman"/>
        </w:rPr>
        <w:t>When a person</w:t>
      </w:r>
      <w:r w:rsidR="00B53E55">
        <w:rPr>
          <w:rFonts w:eastAsia="Times New Roman"/>
        </w:rPr>
        <w:t xml:space="preserve"> who</w:t>
      </w:r>
      <w:r w:rsidRPr="001816D2">
        <w:rPr>
          <w:rFonts w:eastAsia="Times New Roman"/>
        </w:rPr>
        <w:t xml:space="preserve"> has not previously been</w:t>
      </w:r>
      <w:r w:rsidRPr="00DD3F2A">
        <w:rPr>
          <w:rFonts w:eastAsia="Times New Roman"/>
        </w:rPr>
        <w:t xml:space="preserve"> </w:t>
      </w:r>
      <w:r w:rsidR="00A37E2A" w:rsidRPr="00DD3F2A">
        <w:rPr>
          <w:rFonts w:eastAsia="Times New Roman"/>
        </w:rPr>
        <w:t>convicted of an offense listed in subsection (A) above</w:t>
      </w:r>
      <w:r w:rsidR="00A37E2A" w:rsidRPr="00CD2263">
        <w:rPr>
          <w:rFonts w:eastAsia="Times New Roman"/>
        </w:rPr>
        <w:t xml:space="preserve"> </w:t>
      </w:r>
      <w:r w:rsidRPr="001816D2">
        <w:rPr>
          <w:rFonts w:eastAsia="Times New Roman"/>
        </w:rPr>
        <w:t>pleads guilty to or is in violation of such offenses, the court, without entering a judgment of guilt</w:t>
      </w:r>
      <w:r w:rsidR="00ED30A3">
        <w:rPr>
          <w:rFonts w:eastAsia="Times New Roman"/>
        </w:rPr>
        <w:t>y</w:t>
      </w:r>
      <w:r w:rsidRPr="001816D2">
        <w:rPr>
          <w:rFonts w:eastAsia="Times New Roman"/>
        </w:rPr>
        <w:t xml:space="preserve"> and with the consent of the accused, may defer further proceedings and place him on probation upon terms and condi</w:t>
      </w:r>
      <w:r w:rsidR="00CD2263">
        <w:rPr>
          <w:rFonts w:eastAsia="Times New Roman"/>
        </w:rPr>
        <w:t xml:space="preserve">tions as </w:t>
      </w:r>
      <w:r w:rsidR="00ED30A3">
        <w:rPr>
          <w:rFonts w:eastAsia="Times New Roman"/>
        </w:rPr>
        <w:t xml:space="preserve">the court </w:t>
      </w:r>
      <w:r w:rsidRPr="001816D2">
        <w:rPr>
          <w:rFonts w:eastAsia="Times New Roman"/>
        </w:rPr>
        <w:t xml:space="preserve">requires, including the requirement that the person </w:t>
      </w:r>
      <w:r w:rsidRPr="001816D2">
        <w:rPr>
          <w:rFonts w:eastAsia="Times New Roman"/>
        </w:rPr>
        <w:lastRenderedPageBreak/>
        <w:t>cooperate in a treatment and rehabilitation program of a state-supported facility, if a</w:t>
      </w:r>
      <w:r w:rsidR="00E1247C">
        <w:rPr>
          <w:rFonts w:eastAsia="Times New Roman"/>
        </w:rPr>
        <w:t>vailable.</w:t>
      </w:r>
    </w:p>
    <w:p w:rsidR="00ED30A3" w:rsidRDefault="00CD2263" w:rsidP="0018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ED30A3">
        <w:rPr>
          <w:rFonts w:eastAsia="Times New Roman"/>
        </w:rPr>
        <w:t>(2)</w:t>
      </w:r>
      <w:r w:rsidR="00ED30A3">
        <w:rPr>
          <w:rFonts w:eastAsia="Times New Roman"/>
        </w:rPr>
        <w:tab/>
      </w:r>
      <w:r w:rsidR="001816D2" w:rsidRPr="001816D2">
        <w:rPr>
          <w:rFonts w:eastAsia="Times New Roman"/>
        </w:rPr>
        <w:t>Upon violation of a term or c</w:t>
      </w:r>
      <w:r w:rsidR="00E1247C">
        <w:rPr>
          <w:rFonts w:eastAsia="Times New Roman"/>
        </w:rPr>
        <w:t>ondition, the court may enter a</w:t>
      </w:r>
      <w:r w:rsidR="001816D2" w:rsidRPr="001816D2">
        <w:rPr>
          <w:rFonts w:eastAsia="Times New Roman"/>
        </w:rPr>
        <w:t xml:space="preserve"> </w:t>
      </w:r>
      <w:r w:rsidR="00ED30A3">
        <w:rPr>
          <w:rFonts w:eastAsia="Times New Roman"/>
        </w:rPr>
        <w:t xml:space="preserve">judgment of guilty </w:t>
      </w:r>
      <w:r w:rsidR="001816D2" w:rsidRPr="001816D2">
        <w:rPr>
          <w:rFonts w:eastAsia="Times New Roman"/>
        </w:rPr>
        <w:t>and proceed as otherwise provided.</w:t>
      </w:r>
    </w:p>
    <w:p w:rsidR="00ED30A3" w:rsidRDefault="00ED30A3" w:rsidP="0018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001816D2" w:rsidRPr="001816D2">
        <w:rPr>
          <w:rFonts w:eastAsia="Times New Roman"/>
        </w:rPr>
        <w:t xml:space="preserve">Upon fulfillment of the terms and conditions, the court </w:t>
      </w:r>
      <w:r>
        <w:rPr>
          <w:rFonts w:eastAsia="Times New Roman"/>
        </w:rPr>
        <w:t>must</w:t>
      </w:r>
      <w:r w:rsidR="001816D2" w:rsidRPr="001816D2">
        <w:rPr>
          <w:rFonts w:eastAsia="Times New Roman"/>
        </w:rPr>
        <w:t xml:space="preserve"> discharge the person and dismiss the proceedings against him. Discharge and dismissal pursuant to this section is without </w:t>
      </w:r>
      <w:r>
        <w:rPr>
          <w:rFonts w:eastAsia="Times New Roman"/>
        </w:rPr>
        <w:t xml:space="preserve">the </w:t>
      </w:r>
      <w:r w:rsidR="001816D2" w:rsidRPr="001816D2">
        <w:rPr>
          <w:rFonts w:eastAsia="Times New Roman"/>
        </w:rPr>
        <w:t>court</w:t>
      </w:r>
      <w:r>
        <w:rPr>
          <w:rFonts w:eastAsia="Times New Roman"/>
        </w:rPr>
        <w:t>’s</w:t>
      </w:r>
      <w:r w:rsidR="001816D2" w:rsidRPr="001816D2">
        <w:rPr>
          <w:rFonts w:eastAsia="Times New Roman"/>
        </w:rPr>
        <w:t xml:space="preserve"> adjudication of guilt and is not a conviction for purposes of this section or for purposes of disqualifications or disabilities imposed by law upon conviction of a crime. However, a nonpublic record must be forwarded to and retained by the South Carolina Law Enforcement Division solely for the purpose of use by the courts in determining whether or not a person has committed a subsequent offense pursuant to this section.</w:t>
      </w:r>
    </w:p>
    <w:p w:rsidR="001816D2" w:rsidRPr="001816D2" w:rsidRDefault="00ED30A3" w:rsidP="0018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001816D2" w:rsidRPr="001816D2">
        <w:rPr>
          <w:rFonts w:eastAsia="Times New Roman"/>
        </w:rPr>
        <w:t>Discharge and dismissal pursuant to this section may occur only once with respect to any person.</w:t>
      </w:r>
    </w:p>
    <w:p w:rsidR="001816D2" w:rsidRPr="001816D2" w:rsidRDefault="001816D2" w:rsidP="0018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63BEB">
        <w:rPr>
          <w:rFonts w:eastAsia="Times New Roman"/>
        </w:rPr>
        <w:t>(C)</w:t>
      </w:r>
      <w:r w:rsidR="00763BEB">
        <w:rPr>
          <w:rFonts w:eastAsia="Times New Roman"/>
        </w:rPr>
        <w:tab/>
      </w:r>
      <w:r w:rsidRPr="001816D2">
        <w:rPr>
          <w:rFonts w:eastAsia="Times New Roman"/>
        </w:rPr>
        <w:t>Upon the dismissal of the person and discharge of the proceedings against him pursuant to subsection (B), the person may apply to the court for an order to expunge from all official records</w:t>
      </w:r>
      <w:r w:rsidR="00ED30A3">
        <w:rPr>
          <w:rFonts w:eastAsia="Times New Roman"/>
        </w:rPr>
        <w:t>,</w:t>
      </w:r>
      <w:r w:rsidRPr="001816D2">
        <w:rPr>
          <w:rFonts w:eastAsia="Times New Roman"/>
        </w:rPr>
        <w:t xml:space="preserve"> other than the nonpublic records to be retained as provided in subsection (B)</w:t>
      </w:r>
      <w:r w:rsidR="00ED30A3">
        <w:rPr>
          <w:rFonts w:eastAsia="Times New Roman"/>
        </w:rPr>
        <w:t>,</w:t>
      </w:r>
      <w:r w:rsidR="00CD2263">
        <w:rPr>
          <w:rFonts w:eastAsia="Times New Roman"/>
        </w:rPr>
        <w:t xml:space="preserve"> </w:t>
      </w:r>
      <w:r w:rsidRPr="001816D2">
        <w:rPr>
          <w:rFonts w:eastAsia="Times New Roman"/>
        </w:rPr>
        <w:t xml:space="preserve">all recordation relating to his arrest, indictment or information, trial, finding of guilty, and dismissal and discharge pursuant to this section. If the court determines, after a hearing, that the person was dismissed and the proceedings against him discharged, it shall enter the order. The effect of the order is to restore the person, in the contemplation of the law, to the status he occupied before the arrest or indictment or information. </w:t>
      </w:r>
      <w:r w:rsidR="007D3174">
        <w:rPr>
          <w:rFonts w:eastAsia="Times New Roman"/>
        </w:rPr>
        <w:t>A</w:t>
      </w:r>
      <w:r w:rsidRPr="001816D2">
        <w:rPr>
          <w:rFonts w:eastAsia="Times New Roman"/>
        </w:rPr>
        <w:t xml:space="preserve"> person  to whom the order has been entered </w:t>
      </w:r>
      <w:r w:rsidR="007D3174">
        <w:rPr>
          <w:rFonts w:eastAsia="Times New Roman"/>
        </w:rPr>
        <w:t xml:space="preserve">must not </w:t>
      </w:r>
      <w:r w:rsidRPr="001816D2">
        <w:rPr>
          <w:rFonts w:eastAsia="Times New Roman"/>
        </w:rPr>
        <w:t xml:space="preserve">be held to be guilty of perjury or otherwise giving a false statement </w:t>
      </w:r>
      <w:r w:rsidR="007D3174" w:rsidRPr="001816D2">
        <w:rPr>
          <w:rFonts w:eastAsia="Times New Roman"/>
        </w:rPr>
        <w:t xml:space="preserve">pursuant to another provision of law </w:t>
      </w:r>
      <w:r w:rsidRPr="001816D2">
        <w:rPr>
          <w:rFonts w:eastAsia="Times New Roman"/>
        </w:rPr>
        <w:t>by reason of his failure to recite or acknowledge the arrest, or indictment or information, or trial in response to an inquiry made of him for any purpose.</w:t>
      </w:r>
    </w:p>
    <w:p w:rsidR="001816D2" w:rsidRDefault="001816D2" w:rsidP="0018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63BEB">
        <w:rPr>
          <w:rFonts w:eastAsia="Times New Roman"/>
        </w:rPr>
        <w:t>(D)</w:t>
      </w:r>
      <w:r w:rsidR="00763BEB">
        <w:rPr>
          <w:rFonts w:eastAsia="Times New Roman"/>
        </w:rPr>
        <w:tab/>
      </w:r>
      <w:r w:rsidRPr="001816D2">
        <w:rPr>
          <w:rFonts w:eastAsia="Times New Roman"/>
        </w:rPr>
        <w:t xml:space="preserve">Before a person may be discharged and the proceedings dismissed pursuant to this section, the person must pay a fee to the summary court of one hundred fifty dollars. No portion of the fee may be waived, reduced, or suspended, except in cases of indigency. If the court determines that a person is indigent, the court may partially or totally waive, reduce, or suspend the fee. The revenue collected pursuant to this subsection must be retained by the jurisdiction that heard or processed the case and paid to the State Treasurer within thirty days of receipt. The State Treasurer shall transmit these funds to the Prosecution Coordination Commission which shall then apportion these funds among the sixteen judicial </w:t>
      </w:r>
      <w:r w:rsidRPr="001816D2">
        <w:rPr>
          <w:rFonts w:eastAsia="Times New Roman"/>
        </w:rPr>
        <w:lastRenderedPageBreak/>
        <w:t>circuits on a per capita basis equal to the population in that circuit compared to the population of the State as a whole based on the most recent official United States census. The funds must be used for drug treatment court programs only. The amounts generated by this subsection are in addition to any amounts presently being provided for drug treatment court programs and may not be used to supplant funding already allocated for these services. The State Treasurer may request the State Auditor to examine the financial records of a jurisdiction which he believes is not timely transmitting the funds required to be paid to the State Treasurer pursuant to this subsection. The State Auditor is further authorized to conduct these examinations and the local jurisdiction is required to participate in and cooperate fully with the examination.</w:t>
      </w:r>
      <w:r>
        <w:rPr>
          <w:rFonts w:eastAsia="Times New Roman"/>
        </w:rPr>
        <w:t>”</w:t>
      </w:r>
    </w:p>
    <w:p w:rsidR="0031485A" w:rsidRDefault="00314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85A" w:rsidRPr="00522CE0" w:rsidRDefault="00314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53E55">
        <w:rPr>
          <w:rFonts w:eastAsia="Times New Roman"/>
        </w:rPr>
        <w:t>2</w:t>
      </w:r>
      <w:r>
        <w:rPr>
          <w:rFonts w:eastAsia="Times New Roman"/>
        </w:rPr>
        <w:t>.</w:t>
      </w:r>
      <w:r>
        <w:rPr>
          <w:rFonts w:eastAsia="Times New Roman"/>
        </w:rPr>
        <w:tab/>
        <w:t>This act takes effect upon approval by the Governor.</w:t>
      </w:r>
    </w:p>
    <w:p w:rsidR="00D9692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B0118" w:rsidRDefault="007B0118" w:rsidP="007B0118">
      <w:pPr>
        <w:suppressAutoHyphens/>
        <w:jc w:val="both"/>
        <w:rPr>
          <w:rFonts w:eastAsia="Times New Roman"/>
        </w:rPr>
      </w:pPr>
    </w:p>
    <w:sectPr w:rsidR="007B0118" w:rsidSect="007B011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3679" w:rsidRDefault="002F3679" w:rsidP="00522CE0">
      <w:r>
        <w:separator/>
      </w:r>
    </w:p>
  </w:endnote>
  <w:endnote w:type="continuationSeparator" w:id="0">
    <w:p w:rsidR="002F3679" w:rsidRDefault="002F367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DD89E3D-B462-4C21-86B9-0E991F340159}"/>
    <w:embedBold r:id="rId2" w:fontKey="{73D84A5B-26DF-4146-8882-9EE85A35EAE0}"/>
  </w:font>
  <w:font w:name="Calibri">
    <w:panose1 w:val="020F0502020204030204"/>
    <w:charset w:val="00"/>
    <w:family w:val="swiss"/>
    <w:pitch w:val="variable"/>
    <w:sig w:usb0="E0002EFF" w:usb1="C000247B" w:usb2="00000009" w:usb3="00000000" w:csb0="000001FF" w:csb1="00000000"/>
    <w:embedRegular r:id="rId3" w:fontKey="{F41B1123-802E-4D97-BA66-1454F214C9E2}"/>
    <w:embedBold r:id="rId4" w:fontKey="{092BB350-B91F-4FB3-AC84-6151FEF9324E}"/>
  </w:font>
  <w:font w:name="Segoe UI">
    <w:panose1 w:val="020B0502040204020203"/>
    <w:charset w:val="00"/>
    <w:family w:val="swiss"/>
    <w:pitch w:val="variable"/>
    <w:sig w:usb0="E4002EFF" w:usb1="C000E47F" w:usb2="00000009" w:usb3="00000000" w:csb0="000001FF" w:csb1="00000000"/>
    <w:embedRegular r:id="rId5" w:fontKey="{2E390799-2176-4874-98A5-47130FCD01F8}"/>
  </w:font>
  <w:font w:name="Cambria">
    <w:panose1 w:val="02040503050406030204"/>
    <w:charset w:val="00"/>
    <w:family w:val="roman"/>
    <w:pitch w:val="variable"/>
    <w:sig w:usb0="E00006FF" w:usb1="420024FF" w:usb2="02000000" w:usb3="00000000" w:csb0="0000019F" w:csb1="00000000"/>
    <w:embedRegular r:id="rId6" w:fontKey="{8EE007D1-FAD8-4AC0-92AE-BFD1E253CC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92B" w:rsidRPr="007B0118" w:rsidRDefault="007B0118" w:rsidP="007B0118">
    <w:pPr>
      <w:pStyle w:val="Footer"/>
      <w:tabs>
        <w:tab w:val="clear" w:pos="4680"/>
        <w:tab w:val="clear" w:pos="9360"/>
        <w:tab w:val="center" w:pos="2995"/>
      </w:tabs>
      <w:spacing w:before="120"/>
    </w:pPr>
    <w:r>
      <w:t>[916]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3679" w:rsidRDefault="002F3679" w:rsidP="00522CE0">
      <w:r>
        <w:separator/>
      </w:r>
    </w:p>
  </w:footnote>
  <w:footnote w:type="continuationSeparator" w:id="0">
    <w:p w:rsidR="002F3679" w:rsidRDefault="002F367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9.MF"/>
    <w:docVar w:name="CoverAttorneyInitials" w:val="MF"/>
    <w:docVar w:name="CoverAttorneyLastName" w:val="Faulk"/>
    <w:docVar w:name="CoverBillType" w:val="b"/>
    <w:docVar w:name="DraftFileName" w:val="JUD0079.MF.DOCX"/>
    <w:docVar w:name="DraftStenoName" w:val="Henry"/>
    <w:docVar w:name="dvBillNumber" w:val="916"/>
    <w:docVar w:name="dvBillNumberPrefix" w:val="S. "/>
    <w:docVar w:name="dvOriginalBody" w:val="Senate"/>
    <w:docVar w:name="fulldraftpath" w:val="L:\S-JUD\BILLS\Hembree\JUD0079.MF.DOCX"/>
    <w:docVar w:name="NameofBody" w:val="S"/>
    <w:docVar w:name="SenatorFolderName" w:val="Hembree"/>
    <w:docVar w:name="VGROUP2" w:val="S-JUD"/>
  </w:docVars>
  <w:rsids>
    <w:rsidRoot w:val="0031485A"/>
    <w:rsid w:val="000141EB"/>
    <w:rsid w:val="00042AC1"/>
    <w:rsid w:val="00046516"/>
    <w:rsid w:val="00060B26"/>
    <w:rsid w:val="000A4D08"/>
    <w:rsid w:val="000A6988"/>
    <w:rsid w:val="000A7362"/>
    <w:rsid w:val="000B0720"/>
    <w:rsid w:val="000B5EAF"/>
    <w:rsid w:val="000E473B"/>
    <w:rsid w:val="000F002B"/>
    <w:rsid w:val="00107C3D"/>
    <w:rsid w:val="00126995"/>
    <w:rsid w:val="00144F89"/>
    <w:rsid w:val="0016543B"/>
    <w:rsid w:val="00170561"/>
    <w:rsid w:val="001816D2"/>
    <w:rsid w:val="00186AC9"/>
    <w:rsid w:val="00190F47"/>
    <w:rsid w:val="00197DF1"/>
    <w:rsid w:val="001B3DD9"/>
    <w:rsid w:val="001C23C9"/>
    <w:rsid w:val="001D3BAC"/>
    <w:rsid w:val="00206D3D"/>
    <w:rsid w:val="0021330E"/>
    <w:rsid w:val="00221A5C"/>
    <w:rsid w:val="0024519E"/>
    <w:rsid w:val="00245C4E"/>
    <w:rsid w:val="002C5896"/>
    <w:rsid w:val="002E203D"/>
    <w:rsid w:val="002E7B2B"/>
    <w:rsid w:val="002F3679"/>
    <w:rsid w:val="00307C2B"/>
    <w:rsid w:val="0031409E"/>
    <w:rsid w:val="0031485A"/>
    <w:rsid w:val="0032109A"/>
    <w:rsid w:val="00333DF1"/>
    <w:rsid w:val="0033541C"/>
    <w:rsid w:val="00364389"/>
    <w:rsid w:val="003D6A5D"/>
    <w:rsid w:val="003D6E2B"/>
    <w:rsid w:val="003E7597"/>
    <w:rsid w:val="00406A4A"/>
    <w:rsid w:val="00412C9E"/>
    <w:rsid w:val="0042257B"/>
    <w:rsid w:val="00424119"/>
    <w:rsid w:val="00450668"/>
    <w:rsid w:val="00452CD7"/>
    <w:rsid w:val="00477696"/>
    <w:rsid w:val="004952FA"/>
    <w:rsid w:val="004A05F7"/>
    <w:rsid w:val="004A592F"/>
    <w:rsid w:val="004A7F7E"/>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B4B3C"/>
    <w:rsid w:val="006C74EA"/>
    <w:rsid w:val="006E7CA9"/>
    <w:rsid w:val="00720D40"/>
    <w:rsid w:val="0073026D"/>
    <w:rsid w:val="007311B4"/>
    <w:rsid w:val="007318D4"/>
    <w:rsid w:val="00731D28"/>
    <w:rsid w:val="00746551"/>
    <w:rsid w:val="00763BEB"/>
    <w:rsid w:val="0076552B"/>
    <w:rsid w:val="00765784"/>
    <w:rsid w:val="00785E76"/>
    <w:rsid w:val="007A4390"/>
    <w:rsid w:val="007B0118"/>
    <w:rsid w:val="007C65B0"/>
    <w:rsid w:val="007D0BF2"/>
    <w:rsid w:val="007D3174"/>
    <w:rsid w:val="007D356F"/>
    <w:rsid w:val="007E3B8F"/>
    <w:rsid w:val="007E5CB7"/>
    <w:rsid w:val="00814EED"/>
    <w:rsid w:val="008314D2"/>
    <w:rsid w:val="00834860"/>
    <w:rsid w:val="00866858"/>
    <w:rsid w:val="008804AE"/>
    <w:rsid w:val="00894939"/>
    <w:rsid w:val="008B2F42"/>
    <w:rsid w:val="008E185F"/>
    <w:rsid w:val="008E5870"/>
    <w:rsid w:val="008F023B"/>
    <w:rsid w:val="008F7524"/>
    <w:rsid w:val="00904E16"/>
    <w:rsid w:val="00927C62"/>
    <w:rsid w:val="00931A96"/>
    <w:rsid w:val="00964880"/>
    <w:rsid w:val="00983951"/>
    <w:rsid w:val="00984124"/>
    <w:rsid w:val="00984640"/>
    <w:rsid w:val="00995C37"/>
    <w:rsid w:val="009A7B72"/>
    <w:rsid w:val="009C118A"/>
    <w:rsid w:val="009C2F97"/>
    <w:rsid w:val="009C6FD3"/>
    <w:rsid w:val="00A02011"/>
    <w:rsid w:val="00A1612A"/>
    <w:rsid w:val="00A35165"/>
    <w:rsid w:val="00A37E2A"/>
    <w:rsid w:val="00A4011E"/>
    <w:rsid w:val="00A41565"/>
    <w:rsid w:val="00A713DA"/>
    <w:rsid w:val="00A86015"/>
    <w:rsid w:val="00AE00EE"/>
    <w:rsid w:val="00AE59C8"/>
    <w:rsid w:val="00AF088A"/>
    <w:rsid w:val="00B030B6"/>
    <w:rsid w:val="00B10098"/>
    <w:rsid w:val="00B10E10"/>
    <w:rsid w:val="00B35389"/>
    <w:rsid w:val="00B43327"/>
    <w:rsid w:val="00B450FF"/>
    <w:rsid w:val="00B47304"/>
    <w:rsid w:val="00B50A88"/>
    <w:rsid w:val="00B53E55"/>
    <w:rsid w:val="00B66C95"/>
    <w:rsid w:val="00B67A46"/>
    <w:rsid w:val="00B945C5"/>
    <w:rsid w:val="00BA20EA"/>
    <w:rsid w:val="00BB754E"/>
    <w:rsid w:val="00BC0A56"/>
    <w:rsid w:val="00C23348"/>
    <w:rsid w:val="00C6454A"/>
    <w:rsid w:val="00C74052"/>
    <w:rsid w:val="00CB187A"/>
    <w:rsid w:val="00CD1843"/>
    <w:rsid w:val="00CD2263"/>
    <w:rsid w:val="00CD7C71"/>
    <w:rsid w:val="00D05246"/>
    <w:rsid w:val="00D1088B"/>
    <w:rsid w:val="00D123BB"/>
    <w:rsid w:val="00D156D2"/>
    <w:rsid w:val="00D76415"/>
    <w:rsid w:val="00D77EC0"/>
    <w:rsid w:val="00D86943"/>
    <w:rsid w:val="00D9692B"/>
    <w:rsid w:val="00DA47B9"/>
    <w:rsid w:val="00DD3F2A"/>
    <w:rsid w:val="00DD5673"/>
    <w:rsid w:val="00DE5035"/>
    <w:rsid w:val="00E1247C"/>
    <w:rsid w:val="00E25593"/>
    <w:rsid w:val="00E677A1"/>
    <w:rsid w:val="00E91E2F"/>
    <w:rsid w:val="00EA3546"/>
    <w:rsid w:val="00EB1AAC"/>
    <w:rsid w:val="00EB47AE"/>
    <w:rsid w:val="00EC34E1"/>
    <w:rsid w:val="00ED0AE1"/>
    <w:rsid w:val="00ED30A3"/>
    <w:rsid w:val="00F0234A"/>
    <w:rsid w:val="00F1733A"/>
    <w:rsid w:val="00F52959"/>
    <w:rsid w:val="00F532D4"/>
    <w:rsid w:val="00F5557A"/>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28D0157-AAA1-48A5-82BD-E51D6318E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ED30A3"/>
    <w:rPr>
      <w:sz w:val="16"/>
      <w:szCs w:val="16"/>
    </w:rPr>
  </w:style>
  <w:style w:type="paragraph" w:styleId="CommentText">
    <w:name w:val="annotation text"/>
    <w:basedOn w:val="Normal"/>
    <w:link w:val="CommentTextChar"/>
    <w:uiPriority w:val="99"/>
    <w:semiHidden/>
    <w:unhideWhenUsed/>
    <w:rsid w:val="00ED30A3"/>
    <w:rPr>
      <w:sz w:val="20"/>
      <w:szCs w:val="20"/>
    </w:rPr>
  </w:style>
  <w:style w:type="character" w:customStyle="1" w:styleId="CommentTextChar">
    <w:name w:val="Comment Text Char"/>
    <w:basedOn w:val="DefaultParagraphFont"/>
    <w:link w:val="CommentText"/>
    <w:uiPriority w:val="99"/>
    <w:semiHidden/>
    <w:rsid w:val="00ED30A3"/>
    <w:rPr>
      <w:sz w:val="20"/>
      <w:szCs w:val="20"/>
    </w:rPr>
  </w:style>
  <w:style w:type="paragraph" w:styleId="CommentSubject">
    <w:name w:val="annotation subject"/>
    <w:basedOn w:val="CommentText"/>
    <w:next w:val="CommentText"/>
    <w:link w:val="CommentSubjectChar"/>
    <w:uiPriority w:val="99"/>
    <w:semiHidden/>
    <w:unhideWhenUsed/>
    <w:rsid w:val="00ED30A3"/>
    <w:rPr>
      <w:b/>
      <w:bCs/>
    </w:rPr>
  </w:style>
  <w:style w:type="character" w:customStyle="1" w:styleId="CommentSubjectChar">
    <w:name w:val="Comment Subject Char"/>
    <w:basedOn w:val="CommentTextChar"/>
    <w:link w:val="CommentSubject"/>
    <w:uiPriority w:val="99"/>
    <w:semiHidden/>
    <w:rsid w:val="00ED30A3"/>
    <w:rPr>
      <w:b/>
      <w:bCs/>
      <w:sz w:val="20"/>
      <w:szCs w:val="20"/>
    </w:rPr>
  </w:style>
  <w:style w:type="paragraph" w:styleId="BalloonText">
    <w:name w:val="Balloon Text"/>
    <w:basedOn w:val="Normal"/>
    <w:link w:val="BalloonTextChar"/>
    <w:uiPriority w:val="99"/>
    <w:semiHidden/>
    <w:unhideWhenUsed/>
    <w:rsid w:val="00ED30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30A3"/>
    <w:rPr>
      <w:rFonts w:ascii="Segoe UI" w:hAnsi="Segoe UI" w:cs="Segoe UI"/>
      <w:sz w:val="18"/>
      <w:szCs w:val="18"/>
    </w:rPr>
  </w:style>
  <w:style w:type="paragraph" w:styleId="Revision">
    <w:name w:val="Revision"/>
    <w:hidden/>
    <w:uiPriority w:val="99"/>
    <w:semiHidden/>
    <w:rsid w:val="00CD22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3</Pages>
  <Words>838</Words>
  <Characters>4238</Characters>
  <Application>Microsoft Office Word</Application>
  <DocSecurity>0</DocSecurity>
  <Lines>100</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916 Text of Previous Version (Dec. 11, 2019) - South Carolina Legislature Online</dc:title>
  <dc:subject/>
  <dc:creator>Madison M. Faulk</dc:creator>
  <cp:keywords/>
  <dc:description/>
  <cp:lastModifiedBy>S Wilson</cp:lastModifiedBy>
  <cp:revision>2</cp:revision>
  <dcterms:created xsi:type="dcterms:W3CDTF">2019-12-11T20:24:00Z</dcterms:created>
  <dcterms:modified xsi:type="dcterms:W3CDTF">2019-12-11T20:24:00Z</dcterms:modified>
</cp:coreProperties>
</file>