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16B0" w:rsidRPr="00522CE0" w:rsidRDefault="000F1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F1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8018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C6C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w:t>
      </w:r>
      <w:r w:rsidRPr="002E1530">
        <w:rPr>
          <w:color w:val="000000" w:themeColor="text1"/>
          <w:u w:color="000000" w:themeColor="text1"/>
        </w:rPr>
        <w:t>MEND SECTION 16</w:t>
      </w:r>
      <w:r w:rsidR="00DE728B">
        <w:rPr>
          <w:color w:val="000000" w:themeColor="text1"/>
          <w:u w:color="000000" w:themeColor="text1"/>
        </w:rPr>
        <w:noBreakHyphen/>
      </w:r>
      <w:r w:rsidRPr="002E1530">
        <w:rPr>
          <w:color w:val="000000" w:themeColor="text1"/>
          <w:u w:color="000000" w:themeColor="text1"/>
        </w:rPr>
        <w:t>11</w:t>
      </w:r>
      <w:r w:rsidR="00DE728B">
        <w:rPr>
          <w:color w:val="000000" w:themeColor="text1"/>
          <w:u w:color="000000" w:themeColor="text1"/>
        </w:rPr>
        <w:noBreakHyphen/>
      </w:r>
      <w:r w:rsidRPr="002E1530">
        <w:rPr>
          <w:color w:val="000000" w:themeColor="text1"/>
          <w:u w:color="000000" w:themeColor="text1"/>
        </w:rPr>
        <w:t>311</w:t>
      </w:r>
      <w:r w:rsidR="00843C08">
        <w:rPr>
          <w:color w:val="000000" w:themeColor="text1"/>
          <w:u w:color="000000" w:themeColor="text1"/>
        </w:rPr>
        <w:t xml:space="preserve"> OF THE 1976</w:t>
      </w:r>
      <w:r>
        <w:rPr>
          <w:color w:val="000000" w:themeColor="text1"/>
          <w:u w:color="000000" w:themeColor="text1"/>
        </w:rPr>
        <w:t xml:space="preserve"> CODE</w:t>
      </w:r>
      <w:r w:rsidRPr="002E1530">
        <w:rPr>
          <w:color w:val="000000" w:themeColor="text1"/>
          <w:u w:color="000000" w:themeColor="text1"/>
        </w:rPr>
        <w:t>, RELATING TO BURGLARY</w:t>
      </w:r>
      <w:r w:rsidR="005E1E5B">
        <w:rPr>
          <w:color w:val="000000" w:themeColor="text1"/>
          <w:u w:color="000000" w:themeColor="text1"/>
        </w:rPr>
        <w:t xml:space="preserve"> IN THE FIRST DEGREE</w:t>
      </w:r>
      <w:r w:rsidRPr="002E1530">
        <w:rPr>
          <w:color w:val="000000" w:themeColor="text1"/>
          <w:u w:color="000000" w:themeColor="text1"/>
        </w:rPr>
        <w:t>, TO ENACT THE “HOME INVASION PROTECTION ACT</w:t>
      </w:r>
      <w:r>
        <w:rPr>
          <w:color w:val="000000" w:themeColor="text1"/>
          <w:u w:color="000000" w:themeColor="text1"/>
        </w:rPr>
        <w:t>,</w:t>
      </w:r>
      <w:r w:rsidRPr="002E1530">
        <w:rPr>
          <w:color w:val="000000" w:themeColor="text1"/>
          <w:u w:color="000000" w:themeColor="text1"/>
        </w:rPr>
        <w:t xml:space="preserve">” TO PROVIDE </w:t>
      </w:r>
      <w:r w:rsidR="005E1E5B">
        <w:rPr>
          <w:color w:val="000000" w:themeColor="text1"/>
          <w:u w:color="000000" w:themeColor="text1"/>
        </w:rPr>
        <w:t xml:space="preserve">PENALTIES FOR </w:t>
      </w:r>
      <w:r w:rsidRPr="002E1530">
        <w:rPr>
          <w:color w:val="000000" w:themeColor="text1"/>
          <w:u w:color="000000" w:themeColor="text1"/>
        </w:rPr>
        <w:t>BURGLARY IN THE FIRST DEGREE IF A PERSON WHO IS NOT A PARTICIPANT IN THE CRIME IS PRESENT IN THE DWELLING.</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80181" w:rsidRDefault="00A801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80181" w:rsidRDefault="00A801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6C93" w:rsidRPr="00CC6C93" w:rsidRDefault="00A80181" w:rsidP="00CC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00CC6C93" w:rsidRPr="00CC6C93">
        <w:rPr>
          <w:rFonts w:eastAsia="Times New Roman"/>
          <w:color w:val="000000" w:themeColor="text1"/>
          <w:szCs w:val="20"/>
          <w:u w:color="000000" w:themeColor="text1"/>
        </w:rPr>
        <w:t>This act may be cited as the “Home Invasion Protection Act</w:t>
      </w:r>
      <w:r w:rsidR="00CC6C93">
        <w:rPr>
          <w:rFonts w:eastAsia="Times New Roman"/>
          <w:color w:val="000000" w:themeColor="text1"/>
          <w:szCs w:val="20"/>
          <w:u w:color="000000" w:themeColor="text1"/>
        </w:rPr>
        <w:t>.</w:t>
      </w:r>
      <w:r w:rsidR="00CC6C93" w:rsidRPr="00CC6C93">
        <w:rPr>
          <w:rFonts w:eastAsia="Times New Roman"/>
          <w:color w:val="000000" w:themeColor="text1"/>
          <w:szCs w:val="20"/>
          <w:u w:color="000000" w:themeColor="text1"/>
        </w:rPr>
        <w:t>”</w:t>
      </w:r>
    </w:p>
    <w:p w:rsidR="00CC6C93" w:rsidRPr="00CC6C93" w:rsidRDefault="00CC6C93" w:rsidP="00CC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6C93" w:rsidRPr="00CC6C93" w:rsidRDefault="00CC6C93" w:rsidP="00CC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6C93">
        <w:rPr>
          <w:rFonts w:eastAsia="Times New Roman"/>
          <w:color w:val="000000" w:themeColor="text1"/>
          <w:szCs w:val="20"/>
          <w:u w:color="000000" w:themeColor="text1"/>
        </w:rPr>
        <w:t>SECTION</w:t>
      </w:r>
      <w:r w:rsidRPr="00CC6C93">
        <w:rPr>
          <w:rFonts w:eastAsia="Times New Roman"/>
          <w:color w:val="000000" w:themeColor="text1"/>
          <w:szCs w:val="20"/>
          <w:u w:color="000000" w:themeColor="text1"/>
        </w:rPr>
        <w:tab/>
        <w:t>2.</w:t>
      </w:r>
      <w:r w:rsidRPr="00CC6C93">
        <w:rPr>
          <w:rFonts w:eastAsia="Times New Roman"/>
          <w:color w:val="000000" w:themeColor="text1"/>
          <w:szCs w:val="20"/>
          <w:u w:color="000000" w:themeColor="text1"/>
        </w:rPr>
        <w:tab/>
        <w:t>Section 16</w:t>
      </w:r>
      <w:r w:rsidR="00DE728B">
        <w:rPr>
          <w:rFonts w:eastAsia="Times New Roman"/>
          <w:color w:val="000000" w:themeColor="text1"/>
          <w:szCs w:val="20"/>
          <w:u w:color="000000" w:themeColor="text1"/>
        </w:rPr>
        <w:noBreakHyphen/>
      </w:r>
      <w:r w:rsidRPr="00CC6C93">
        <w:rPr>
          <w:rFonts w:eastAsia="Times New Roman"/>
          <w:color w:val="000000" w:themeColor="text1"/>
          <w:szCs w:val="20"/>
          <w:u w:color="000000" w:themeColor="text1"/>
        </w:rPr>
        <w:t>11</w:t>
      </w:r>
      <w:r w:rsidR="00DE728B">
        <w:rPr>
          <w:rFonts w:eastAsia="Times New Roman"/>
          <w:color w:val="000000" w:themeColor="text1"/>
          <w:szCs w:val="20"/>
          <w:u w:color="000000" w:themeColor="text1"/>
        </w:rPr>
        <w:noBreakHyphen/>
      </w:r>
      <w:r w:rsidRPr="00CC6C93">
        <w:rPr>
          <w:rFonts w:eastAsia="Times New Roman"/>
          <w:color w:val="000000" w:themeColor="text1"/>
          <w:szCs w:val="20"/>
          <w:u w:color="000000" w:themeColor="text1"/>
        </w:rPr>
        <w:t>311 of the 1976 Code is amended to read:</w:t>
      </w:r>
    </w:p>
    <w:p w:rsidR="00CC6C93" w:rsidRPr="00CC6C93" w:rsidRDefault="00CC6C93" w:rsidP="00CC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6C93" w:rsidRPr="00CC6C93" w:rsidRDefault="00CC6C93" w:rsidP="00CC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6C93">
        <w:rPr>
          <w:rFonts w:eastAsia="Times New Roman"/>
          <w:color w:val="000000" w:themeColor="text1"/>
          <w:szCs w:val="20"/>
          <w:u w:color="000000" w:themeColor="text1"/>
        </w:rPr>
        <w:tab/>
        <w:t>“Section 16</w:t>
      </w:r>
      <w:r w:rsidR="00DE728B">
        <w:rPr>
          <w:rFonts w:eastAsia="Times New Roman"/>
          <w:color w:val="000000" w:themeColor="text1"/>
          <w:szCs w:val="20"/>
          <w:u w:color="000000" w:themeColor="text1"/>
        </w:rPr>
        <w:noBreakHyphen/>
      </w:r>
      <w:r w:rsidRPr="00CC6C93">
        <w:rPr>
          <w:rFonts w:eastAsia="Times New Roman"/>
          <w:color w:val="000000" w:themeColor="text1"/>
          <w:szCs w:val="20"/>
          <w:u w:color="000000" w:themeColor="text1"/>
        </w:rPr>
        <w:t>11</w:t>
      </w:r>
      <w:r w:rsidR="00DE728B">
        <w:rPr>
          <w:rFonts w:eastAsia="Times New Roman"/>
          <w:color w:val="000000" w:themeColor="text1"/>
          <w:szCs w:val="20"/>
          <w:u w:color="000000" w:themeColor="text1"/>
        </w:rPr>
        <w:noBreakHyphen/>
      </w:r>
      <w:r w:rsidRPr="00CC6C93">
        <w:rPr>
          <w:rFonts w:eastAsia="Times New Roman"/>
          <w:color w:val="000000" w:themeColor="text1"/>
          <w:szCs w:val="20"/>
          <w:u w:color="000000" w:themeColor="text1"/>
        </w:rPr>
        <w:t>311.</w:t>
      </w:r>
      <w:r w:rsidRPr="00CC6C93">
        <w:rPr>
          <w:rFonts w:eastAsia="Times New Roman"/>
          <w:color w:val="000000" w:themeColor="text1"/>
          <w:szCs w:val="20"/>
          <w:u w:color="000000" w:themeColor="text1"/>
        </w:rPr>
        <w:tab/>
        <w:t>(A)</w:t>
      </w:r>
      <w:r w:rsidRPr="00CC6C93">
        <w:rPr>
          <w:rFonts w:eastAsia="Times New Roman"/>
          <w:color w:val="000000" w:themeColor="text1"/>
          <w:szCs w:val="20"/>
          <w:u w:color="000000" w:themeColor="text1"/>
        </w:rPr>
        <w:tab/>
        <w:t>A person is guilty of burglary in the first degree if the person enters a dwelling without consent and with intent to commit a crime in the dwelling, and either:</w:t>
      </w:r>
    </w:p>
    <w:p w:rsidR="00CC6C93" w:rsidRPr="00CC6C93" w:rsidRDefault="00CC6C93" w:rsidP="00CC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6C93">
        <w:rPr>
          <w:rFonts w:eastAsia="Times New Roman"/>
          <w:color w:val="000000" w:themeColor="text1"/>
          <w:szCs w:val="20"/>
          <w:u w:color="000000" w:themeColor="text1"/>
        </w:rPr>
        <w:tab/>
      </w:r>
      <w:r w:rsidRPr="00CC6C93">
        <w:rPr>
          <w:rFonts w:eastAsia="Times New Roman"/>
          <w:color w:val="000000" w:themeColor="text1"/>
          <w:szCs w:val="20"/>
          <w:u w:color="000000" w:themeColor="text1"/>
        </w:rPr>
        <w:tab/>
        <w:t>(1)</w:t>
      </w:r>
      <w:r w:rsidRPr="00CC6C93">
        <w:rPr>
          <w:rFonts w:eastAsia="Times New Roman"/>
          <w:color w:val="000000" w:themeColor="text1"/>
          <w:szCs w:val="20"/>
          <w:u w:color="000000" w:themeColor="text1"/>
        </w:rPr>
        <w:tab/>
        <w:t xml:space="preserve">when, in effecting entry or while in the dwelling or in immediate flight, </w:t>
      </w:r>
      <w:r w:rsidRPr="00CC6C93">
        <w:rPr>
          <w:rFonts w:eastAsia="Times New Roman"/>
          <w:strike/>
          <w:color w:val="000000" w:themeColor="text1"/>
          <w:szCs w:val="20"/>
          <w:u w:color="000000" w:themeColor="text1"/>
        </w:rPr>
        <w:t>he</w:t>
      </w:r>
      <w:r w:rsidRPr="00CC6C93">
        <w:rPr>
          <w:rFonts w:eastAsia="Times New Roman"/>
          <w:color w:val="000000" w:themeColor="text1"/>
          <w:szCs w:val="20"/>
          <w:u w:color="000000" w:themeColor="text1"/>
        </w:rPr>
        <w:t xml:space="preserve"> </w:t>
      </w:r>
      <w:r w:rsidRPr="00CC6C93">
        <w:rPr>
          <w:rFonts w:eastAsia="Times New Roman"/>
          <w:color w:val="000000" w:themeColor="text1"/>
          <w:szCs w:val="20"/>
          <w:u w:val="single" w:color="000000" w:themeColor="text1"/>
        </w:rPr>
        <w:t>the person</w:t>
      </w:r>
      <w:r w:rsidRPr="00CC6C93">
        <w:rPr>
          <w:rFonts w:eastAsia="Times New Roman"/>
          <w:color w:val="000000" w:themeColor="text1"/>
          <w:szCs w:val="20"/>
          <w:u w:color="000000" w:themeColor="text1"/>
        </w:rPr>
        <w:t xml:space="preserve"> or another participant in the crime:</w:t>
      </w:r>
    </w:p>
    <w:p w:rsidR="00CC6C93" w:rsidRPr="00CC6C93" w:rsidRDefault="00CC6C93" w:rsidP="00CC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6C93">
        <w:rPr>
          <w:rFonts w:eastAsia="Times New Roman"/>
          <w:color w:val="000000" w:themeColor="text1"/>
          <w:szCs w:val="20"/>
          <w:u w:color="000000" w:themeColor="text1"/>
        </w:rPr>
        <w:tab/>
      </w:r>
      <w:r w:rsidRPr="00CC6C93">
        <w:rPr>
          <w:rFonts w:eastAsia="Times New Roman"/>
          <w:color w:val="000000" w:themeColor="text1"/>
          <w:szCs w:val="20"/>
          <w:u w:color="000000" w:themeColor="text1"/>
        </w:rPr>
        <w:tab/>
      </w:r>
      <w:r w:rsidRPr="00CC6C93">
        <w:rPr>
          <w:rFonts w:eastAsia="Times New Roman"/>
          <w:color w:val="000000" w:themeColor="text1"/>
          <w:szCs w:val="20"/>
          <w:u w:color="000000" w:themeColor="text1"/>
        </w:rPr>
        <w:tab/>
        <w:t>(a)</w:t>
      </w:r>
      <w:r w:rsidRPr="00CC6C93">
        <w:rPr>
          <w:rFonts w:eastAsia="Times New Roman"/>
          <w:color w:val="000000" w:themeColor="text1"/>
          <w:szCs w:val="20"/>
          <w:u w:color="000000" w:themeColor="text1"/>
        </w:rPr>
        <w:tab/>
        <w:t xml:space="preserve">is armed with a deadly weapon or explosive; </w:t>
      </w:r>
      <w:r w:rsidRPr="00CC6C93">
        <w:rPr>
          <w:rFonts w:eastAsia="Times New Roman"/>
          <w:strike/>
          <w:color w:val="000000" w:themeColor="text1"/>
          <w:szCs w:val="20"/>
          <w:u w:color="000000" w:themeColor="text1"/>
        </w:rPr>
        <w:t>or</w:t>
      </w:r>
    </w:p>
    <w:p w:rsidR="00CC6C93" w:rsidRPr="00CC6C93" w:rsidRDefault="00CC6C93" w:rsidP="00CC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6C93">
        <w:rPr>
          <w:rFonts w:eastAsia="Times New Roman"/>
          <w:color w:val="000000" w:themeColor="text1"/>
          <w:szCs w:val="20"/>
          <w:u w:color="000000" w:themeColor="text1"/>
        </w:rPr>
        <w:tab/>
      </w:r>
      <w:r w:rsidRPr="00CC6C93">
        <w:rPr>
          <w:rFonts w:eastAsia="Times New Roman"/>
          <w:color w:val="000000" w:themeColor="text1"/>
          <w:szCs w:val="20"/>
          <w:u w:color="000000" w:themeColor="text1"/>
        </w:rPr>
        <w:tab/>
      </w:r>
      <w:r w:rsidRPr="00CC6C93">
        <w:rPr>
          <w:rFonts w:eastAsia="Times New Roman"/>
          <w:color w:val="000000" w:themeColor="text1"/>
          <w:szCs w:val="20"/>
          <w:u w:color="000000" w:themeColor="text1"/>
        </w:rPr>
        <w:tab/>
        <w:t>(b)</w:t>
      </w:r>
      <w:r w:rsidRPr="00CC6C93">
        <w:rPr>
          <w:rFonts w:eastAsia="Times New Roman"/>
          <w:color w:val="000000" w:themeColor="text1"/>
          <w:szCs w:val="20"/>
          <w:u w:color="000000" w:themeColor="text1"/>
        </w:rPr>
        <w:tab/>
        <w:t xml:space="preserve">causes physical injury to a person who is not a participant in the crime; </w:t>
      </w:r>
      <w:r w:rsidRPr="00CC6C93">
        <w:rPr>
          <w:rFonts w:eastAsia="Times New Roman"/>
          <w:strike/>
          <w:color w:val="000000" w:themeColor="text1"/>
          <w:szCs w:val="20"/>
          <w:u w:color="000000" w:themeColor="text1"/>
        </w:rPr>
        <w:t>or</w:t>
      </w:r>
    </w:p>
    <w:p w:rsidR="00CC6C93" w:rsidRPr="00CC6C93" w:rsidRDefault="00CC6C93" w:rsidP="00CC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6C93">
        <w:rPr>
          <w:rFonts w:eastAsia="Times New Roman"/>
          <w:color w:val="000000" w:themeColor="text1"/>
          <w:szCs w:val="20"/>
          <w:u w:color="000000" w:themeColor="text1"/>
        </w:rPr>
        <w:tab/>
      </w:r>
      <w:r w:rsidRPr="00CC6C93">
        <w:rPr>
          <w:rFonts w:eastAsia="Times New Roman"/>
          <w:color w:val="000000" w:themeColor="text1"/>
          <w:szCs w:val="20"/>
          <w:u w:color="000000" w:themeColor="text1"/>
        </w:rPr>
        <w:tab/>
      </w:r>
      <w:r w:rsidRPr="00CC6C93">
        <w:rPr>
          <w:rFonts w:eastAsia="Times New Roman"/>
          <w:color w:val="000000" w:themeColor="text1"/>
          <w:szCs w:val="20"/>
          <w:u w:color="000000" w:themeColor="text1"/>
        </w:rPr>
        <w:tab/>
        <w:t>(c)</w:t>
      </w:r>
      <w:r w:rsidRPr="00CC6C93">
        <w:rPr>
          <w:rFonts w:eastAsia="Times New Roman"/>
          <w:color w:val="000000" w:themeColor="text1"/>
          <w:szCs w:val="20"/>
          <w:u w:color="000000" w:themeColor="text1"/>
        </w:rPr>
        <w:tab/>
        <w:t>uses or threatens the use of a dangerous instrument; or</w:t>
      </w:r>
    </w:p>
    <w:p w:rsidR="00CC6C93" w:rsidRPr="00CC6C93" w:rsidRDefault="00CC6C93" w:rsidP="00CC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6C93">
        <w:rPr>
          <w:rFonts w:eastAsia="Times New Roman"/>
          <w:color w:val="000000" w:themeColor="text1"/>
          <w:szCs w:val="20"/>
          <w:u w:color="000000" w:themeColor="text1"/>
        </w:rPr>
        <w:tab/>
      </w:r>
      <w:r w:rsidRPr="00CC6C93">
        <w:rPr>
          <w:rFonts w:eastAsia="Times New Roman"/>
          <w:color w:val="000000" w:themeColor="text1"/>
          <w:szCs w:val="20"/>
          <w:u w:color="000000" w:themeColor="text1"/>
        </w:rPr>
        <w:tab/>
      </w:r>
      <w:r w:rsidRPr="00CC6C93">
        <w:rPr>
          <w:rFonts w:eastAsia="Times New Roman"/>
          <w:color w:val="000000" w:themeColor="text1"/>
          <w:szCs w:val="20"/>
          <w:u w:color="000000" w:themeColor="text1"/>
        </w:rPr>
        <w:tab/>
        <w:t>(d)</w:t>
      </w:r>
      <w:r w:rsidRPr="00CC6C93">
        <w:rPr>
          <w:rFonts w:eastAsia="Times New Roman"/>
          <w:color w:val="000000" w:themeColor="text1"/>
          <w:szCs w:val="20"/>
          <w:u w:color="000000" w:themeColor="text1"/>
        </w:rPr>
        <w:tab/>
        <w:t xml:space="preserve">displays what is or appears to be a knife, pistol, revolver, rifle, shotgun, machine gun, or other firearm; </w:t>
      </w:r>
      <w:r w:rsidRPr="00CC6C93">
        <w:rPr>
          <w:rFonts w:eastAsia="Times New Roman"/>
          <w:strike/>
          <w:color w:val="000000" w:themeColor="text1"/>
          <w:szCs w:val="20"/>
          <w:u w:color="000000" w:themeColor="text1"/>
        </w:rPr>
        <w:t>or</w:t>
      </w:r>
    </w:p>
    <w:p w:rsidR="00CC6C93" w:rsidRPr="00CC6C93" w:rsidRDefault="00CC6C93" w:rsidP="00CC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6C93">
        <w:rPr>
          <w:rFonts w:eastAsia="Times New Roman"/>
          <w:color w:val="000000" w:themeColor="text1"/>
          <w:szCs w:val="20"/>
          <w:u w:color="000000" w:themeColor="text1"/>
        </w:rPr>
        <w:tab/>
      </w:r>
      <w:r w:rsidRPr="00CC6C93">
        <w:rPr>
          <w:rFonts w:eastAsia="Times New Roman"/>
          <w:color w:val="000000" w:themeColor="text1"/>
          <w:szCs w:val="20"/>
          <w:u w:color="000000" w:themeColor="text1"/>
        </w:rPr>
        <w:tab/>
        <w:t>(2)</w:t>
      </w:r>
      <w:r w:rsidRPr="00CC6C93">
        <w:rPr>
          <w:rFonts w:eastAsia="Times New Roman"/>
          <w:color w:val="000000" w:themeColor="text1"/>
          <w:szCs w:val="20"/>
          <w:u w:color="000000" w:themeColor="text1"/>
        </w:rPr>
        <w:tab/>
        <w:t>the burglary is committed by a person with a prior record of two or more convictions for burglary or housebreaking or a combination of both; or</w:t>
      </w:r>
    </w:p>
    <w:p w:rsidR="00CC6C93" w:rsidRPr="00CC6C93" w:rsidRDefault="00CC6C93" w:rsidP="00CC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6C93">
        <w:rPr>
          <w:rFonts w:eastAsia="Times New Roman"/>
          <w:color w:val="000000" w:themeColor="text1"/>
          <w:szCs w:val="20"/>
          <w:u w:color="000000" w:themeColor="text1"/>
        </w:rPr>
        <w:tab/>
      </w:r>
      <w:r w:rsidRPr="00CC6C93">
        <w:rPr>
          <w:rFonts w:eastAsia="Times New Roman"/>
          <w:color w:val="000000" w:themeColor="text1"/>
          <w:szCs w:val="20"/>
          <w:u w:color="000000" w:themeColor="text1"/>
        </w:rPr>
        <w:tab/>
        <w:t>(3)</w:t>
      </w:r>
      <w:r w:rsidRPr="00CC6C93">
        <w:rPr>
          <w:rFonts w:eastAsia="Times New Roman"/>
          <w:color w:val="000000" w:themeColor="text1"/>
          <w:szCs w:val="20"/>
          <w:u w:color="000000" w:themeColor="text1"/>
        </w:rPr>
        <w:tab/>
        <w:t>the entering or remaining occurs in the nighttime.</w:t>
      </w:r>
    </w:p>
    <w:p w:rsidR="00CC6C93" w:rsidRPr="00CC6C93" w:rsidRDefault="00CC6C93" w:rsidP="00CC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6C93">
        <w:rPr>
          <w:rFonts w:eastAsia="Times New Roman"/>
          <w:color w:val="000000" w:themeColor="text1"/>
          <w:szCs w:val="20"/>
          <w:u w:color="000000" w:themeColor="text1"/>
        </w:rPr>
        <w:lastRenderedPageBreak/>
        <w:tab/>
        <w:t>(B)</w:t>
      </w:r>
      <w:r w:rsidRPr="00CC6C93">
        <w:rPr>
          <w:rFonts w:eastAsia="Times New Roman"/>
          <w:color w:val="000000" w:themeColor="text1"/>
          <w:szCs w:val="20"/>
          <w:u w:color="000000" w:themeColor="text1"/>
        </w:rPr>
        <w:tab/>
        <w:t xml:space="preserve">Burglary in the first degree is a felony punishable by life imprisonment. For purposes of this section, ‘life’ means until death. </w:t>
      </w:r>
      <w:r w:rsidRPr="00CC6C93">
        <w:rPr>
          <w:rFonts w:eastAsia="Times New Roman"/>
          <w:strike/>
          <w:color w:val="000000" w:themeColor="text1"/>
          <w:szCs w:val="20"/>
          <w:u w:color="000000" w:themeColor="text1"/>
        </w:rPr>
        <w:t>The</w:t>
      </w:r>
      <w:r w:rsidRPr="00CC6C93">
        <w:rPr>
          <w:rFonts w:eastAsia="Times New Roman"/>
          <w:color w:val="000000" w:themeColor="text1"/>
          <w:szCs w:val="20"/>
          <w:u w:color="000000" w:themeColor="text1"/>
        </w:rPr>
        <w:t xml:space="preserve"> </w:t>
      </w:r>
      <w:r w:rsidRPr="00CC6C93">
        <w:rPr>
          <w:rFonts w:eastAsia="Times New Roman"/>
          <w:color w:val="000000" w:themeColor="text1"/>
          <w:szCs w:val="20"/>
          <w:u w:val="single" w:color="000000" w:themeColor="text1"/>
        </w:rPr>
        <w:t>If the burglary involves an element of subsection (A)(2),</w:t>
      </w:r>
      <w:r w:rsidR="00843C08">
        <w:rPr>
          <w:rFonts w:eastAsia="Times New Roman"/>
          <w:color w:val="000000" w:themeColor="text1"/>
          <w:szCs w:val="20"/>
          <w:u w:val="single" w:color="000000" w:themeColor="text1"/>
        </w:rPr>
        <w:t xml:space="preserve"> subsection</w:t>
      </w:r>
      <w:r w:rsidRPr="00CC6C93">
        <w:rPr>
          <w:rFonts w:eastAsia="Times New Roman"/>
          <w:color w:val="000000" w:themeColor="text1"/>
          <w:szCs w:val="20"/>
          <w:u w:val="single" w:color="000000" w:themeColor="text1"/>
        </w:rPr>
        <w:t xml:space="preserve"> (A)(3), or subsections (A)(2) and (A)(3), but does not involve an element of subsection (A)(1), </w:t>
      </w:r>
      <w:r w:rsidR="00843C08">
        <w:rPr>
          <w:rFonts w:eastAsia="Times New Roman"/>
          <w:color w:val="000000" w:themeColor="text1"/>
          <w:szCs w:val="20"/>
          <w:u w:val="single" w:color="000000" w:themeColor="text1"/>
        </w:rPr>
        <w:t xml:space="preserve">then </w:t>
      </w:r>
      <w:r w:rsidRPr="00CC6C93">
        <w:rPr>
          <w:rFonts w:eastAsia="Times New Roman"/>
          <w:color w:val="000000" w:themeColor="text1"/>
          <w:szCs w:val="20"/>
          <w:u w:val="single" w:color="000000" w:themeColor="text1"/>
        </w:rPr>
        <w:t>the</w:t>
      </w:r>
      <w:r w:rsidRPr="00CC6C93">
        <w:rPr>
          <w:rFonts w:eastAsia="Times New Roman"/>
          <w:color w:val="000000" w:themeColor="text1"/>
          <w:szCs w:val="20"/>
          <w:u w:color="000000" w:themeColor="text1"/>
        </w:rPr>
        <w:t xml:space="preserve"> court, in its discretion, may sentence the defendant to a term of not less than fifteen years. </w:t>
      </w:r>
      <w:r w:rsidRPr="00CC6C93">
        <w:rPr>
          <w:rFonts w:eastAsia="Times New Roman"/>
          <w:color w:val="000000" w:themeColor="text1"/>
          <w:szCs w:val="20"/>
          <w:u w:val="single" w:color="000000" w:themeColor="text1"/>
        </w:rPr>
        <w:t xml:space="preserve">If the burglary involves an element of subsection (A)(1) and a person who is not a participant in the crime is present in the dwelling, </w:t>
      </w:r>
      <w:r w:rsidR="00843C08">
        <w:rPr>
          <w:rFonts w:eastAsia="Times New Roman"/>
          <w:color w:val="000000" w:themeColor="text1"/>
          <w:szCs w:val="20"/>
          <w:u w:val="single" w:color="000000" w:themeColor="text1"/>
        </w:rPr>
        <w:t xml:space="preserve">then </w:t>
      </w:r>
      <w:r w:rsidRPr="00CC6C93">
        <w:rPr>
          <w:rFonts w:eastAsia="Times New Roman"/>
          <w:color w:val="000000" w:themeColor="text1"/>
          <w:szCs w:val="20"/>
          <w:u w:val="single" w:color="000000" w:themeColor="text1"/>
        </w:rPr>
        <w:t>the court, in its discretion, may sentence the defendant to a term of not less than twenty years.</w:t>
      </w:r>
      <w:r w:rsidRPr="00CC6C93">
        <w:rPr>
          <w:rFonts w:eastAsia="Times New Roman"/>
          <w:color w:val="000000" w:themeColor="text1"/>
          <w:szCs w:val="20"/>
          <w:u w:color="000000" w:themeColor="text1"/>
        </w:rPr>
        <w:t>”</w:t>
      </w:r>
    </w:p>
    <w:p w:rsidR="00CC6C93" w:rsidRPr="00CC6C93" w:rsidRDefault="00CC6C93" w:rsidP="00CC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6C93" w:rsidRPr="00CC6C93" w:rsidRDefault="00CC6C93" w:rsidP="00CC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6C93">
        <w:rPr>
          <w:rFonts w:eastAsia="Times New Roman"/>
          <w:color w:val="000000" w:themeColor="text1"/>
          <w:szCs w:val="20"/>
          <w:u w:color="000000" w:themeColor="text1"/>
        </w:rPr>
        <w:t>SECTION</w:t>
      </w:r>
      <w:r w:rsidRPr="00CC6C93">
        <w:rPr>
          <w:rFonts w:eastAsia="Times New Roman"/>
          <w:color w:val="000000" w:themeColor="text1"/>
          <w:szCs w:val="20"/>
          <w:u w:color="000000" w:themeColor="text1"/>
        </w:rPr>
        <w:tab/>
        <w:t>3.</w:t>
      </w:r>
      <w:r w:rsidRPr="00CC6C93">
        <w:rPr>
          <w:rFonts w:eastAsia="Times New Roman"/>
          <w:color w:val="000000" w:themeColor="text1"/>
          <w:szCs w:val="20"/>
          <w:u w:color="000000" w:themeColor="text1"/>
        </w:rPr>
        <w:tab/>
        <w:t>The repeal or amendment by this act of any law, whether temporary</w:t>
      </w:r>
      <w:r w:rsidR="00843C08">
        <w:rPr>
          <w:rFonts w:eastAsia="Times New Roman"/>
          <w:color w:val="000000" w:themeColor="text1"/>
          <w:szCs w:val="20"/>
          <w:u w:color="000000" w:themeColor="text1"/>
        </w:rPr>
        <w:t>,</w:t>
      </w:r>
      <w:r w:rsidRPr="00CC6C93">
        <w:rPr>
          <w:rFonts w:eastAsia="Times New Roman"/>
          <w:color w:val="000000" w:themeColor="text1"/>
          <w:szCs w:val="20"/>
          <w:u w:color="000000" w:themeColor="text1"/>
        </w:rPr>
        <w:t xml:space="preserve"> permanent</w:t>
      </w:r>
      <w:r w:rsidR="00843C08">
        <w:rPr>
          <w:rFonts w:eastAsia="Times New Roman"/>
          <w:color w:val="000000" w:themeColor="text1"/>
          <w:szCs w:val="20"/>
          <w:u w:color="000000" w:themeColor="text1"/>
        </w:rPr>
        <w:t>,</w:t>
      </w:r>
      <w:r w:rsidRPr="00CC6C93">
        <w:rPr>
          <w:rFonts w:eastAsia="Times New Roman"/>
          <w:color w:val="000000" w:themeColor="text1"/>
          <w:szCs w:val="20"/>
          <w:u w:color="000000" w:themeColor="text1"/>
        </w:rPr>
        <w:t xml:space="preserve"> civil</w:t>
      </w:r>
      <w:r w:rsidR="00843C08">
        <w:rPr>
          <w:rFonts w:eastAsia="Times New Roman"/>
          <w:color w:val="000000" w:themeColor="text1"/>
          <w:szCs w:val="20"/>
          <w:u w:color="000000" w:themeColor="text1"/>
        </w:rPr>
        <w:t>,</w:t>
      </w:r>
      <w:r w:rsidRPr="00CC6C93">
        <w:rPr>
          <w:rFonts w:eastAsia="Times New Roman"/>
          <w:color w:val="000000" w:themeColor="text1"/>
          <w:szCs w:val="20"/>
          <w:u w:color="000000" w:themeColor="text1"/>
        </w:rPr>
        <w:t xml:space="preserve"> or criminal, does not affect pending actions, rights, duties, or liabilities founded thereon or alter, discharge, release</w:t>
      </w:r>
      <w:r w:rsidR="00843C08">
        <w:rPr>
          <w:rFonts w:eastAsia="Times New Roman"/>
          <w:color w:val="000000" w:themeColor="text1"/>
          <w:szCs w:val="20"/>
          <w:u w:color="000000" w:themeColor="text1"/>
        </w:rPr>
        <w:t>,</w:t>
      </w:r>
      <w:r w:rsidRPr="00CC6C93">
        <w:rPr>
          <w:rFonts w:eastAsia="Times New Roman"/>
          <w:color w:val="000000" w:themeColor="text1"/>
          <w:szCs w:val="20"/>
          <w:u w:color="000000" w:themeColor="text1"/>
        </w:rPr>
        <w:t xml:space="preserv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80181" w:rsidRDefault="00A801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0181" w:rsidRPr="00522CE0" w:rsidRDefault="00A801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C6C93">
        <w:rPr>
          <w:rFonts w:eastAsia="Times New Roman"/>
        </w:rPr>
        <w:t>4</w:t>
      </w:r>
      <w:r>
        <w:rPr>
          <w:rFonts w:eastAsia="Times New Roman"/>
        </w:rPr>
        <w:t>.</w:t>
      </w:r>
      <w:r>
        <w:rPr>
          <w:rFonts w:eastAsia="Times New Roman"/>
        </w:rPr>
        <w:tab/>
        <w:t>This act takes effect upon approval by the Governor.</w:t>
      </w:r>
    </w:p>
    <w:p w:rsidR="002B79A7" w:rsidRDefault="00DE728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F16B0" w:rsidRDefault="000F16B0" w:rsidP="000F16B0">
      <w:pPr>
        <w:suppressAutoHyphens/>
        <w:jc w:val="both"/>
        <w:rPr>
          <w:rFonts w:eastAsia="Times New Roman"/>
        </w:rPr>
      </w:pPr>
    </w:p>
    <w:sectPr w:rsidR="000F16B0" w:rsidSect="000F16B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0181" w:rsidRDefault="00A80181" w:rsidP="00522CE0">
      <w:r>
        <w:separator/>
      </w:r>
    </w:p>
  </w:endnote>
  <w:endnote w:type="continuationSeparator" w:id="0">
    <w:p w:rsidR="00A80181" w:rsidRDefault="00A8018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C1D40C0-25C1-455D-ADA6-23B883D93B24}"/>
    <w:embedBold r:id="rId2" w:fontKey="{F2EC2B3D-46C0-40C0-AF5A-0B8F86808A6F}"/>
  </w:font>
  <w:font w:name="Calibri">
    <w:panose1 w:val="020F0502020204030204"/>
    <w:charset w:val="00"/>
    <w:family w:val="swiss"/>
    <w:pitch w:val="variable"/>
    <w:sig w:usb0="E00002FF" w:usb1="4000ACFF" w:usb2="00000001" w:usb3="00000000" w:csb0="0000019F" w:csb1="00000000"/>
    <w:embedRegular r:id="rId3" w:fontKey="{2AB210FE-9C2A-40F0-B060-F3791E5E6443}"/>
  </w:font>
  <w:font w:name="Cambria">
    <w:panose1 w:val="02040503050406030204"/>
    <w:charset w:val="00"/>
    <w:family w:val="roman"/>
    <w:pitch w:val="variable"/>
    <w:sig w:usb0="E00002FF" w:usb1="400004FF" w:usb2="00000000" w:usb3="00000000" w:csb0="0000019F" w:csb1="00000000"/>
    <w:embedRegular r:id="rId4" w:fontKey="{D5D0312D-A62D-4972-B1A6-A3D54147E4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9A7" w:rsidRPr="000F16B0" w:rsidRDefault="000F16B0" w:rsidP="000F16B0">
    <w:pPr>
      <w:pStyle w:val="Footer"/>
      <w:tabs>
        <w:tab w:val="clear" w:pos="4680"/>
        <w:tab w:val="clear" w:pos="9360"/>
        <w:tab w:val="center" w:pos="2995"/>
      </w:tabs>
      <w:spacing w:before="120"/>
    </w:pPr>
    <w:r>
      <w:t>[96]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0181" w:rsidRDefault="00A80181" w:rsidP="00522CE0">
      <w:r>
        <w:separator/>
      </w:r>
    </w:p>
  </w:footnote>
  <w:footnote w:type="continuationSeparator" w:id="0">
    <w:p w:rsidR="00A80181" w:rsidRDefault="00A8018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HOME.KMM.GEC"/>
    <w:docVar w:name="CoverAttorneyInitials" w:val="KMM"/>
    <w:docVar w:name="CoverAttorneyLastName" w:val="Moffitt"/>
    <w:docVar w:name="CoverBillType" w:val="b"/>
    <w:docVar w:name="CoverSenator" w:val="GEC"/>
    <w:docVar w:name="dvBillNumber" w:val="96"/>
    <w:docVar w:name="dvBillNumberPrefix" w:val="S. "/>
    <w:docVar w:name="dvOriginalBody" w:val="Senate"/>
    <w:docVar w:name="fulldraftpath" w:val="L:\S-RES\GEC\013HOME.KMM.GEC.DOCX"/>
    <w:docVar w:name="NameofBody" w:val="S"/>
    <w:docVar w:name="vgroup2" w:val="S-RES"/>
  </w:docVars>
  <w:rsids>
    <w:rsidRoot w:val="00A80181"/>
    <w:rsid w:val="00042AC1"/>
    <w:rsid w:val="00046516"/>
    <w:rsid w:val="00072458"/>
    <w:rsid w:val="0007601D"/>
    <w:rsid w:val="000A036B"/>
    <w:rsid w:val="000B0720"/>
    <w:rsid w:val="000B5EAF"/>
    <w:rsid w:val="000F16B0"/>
    <w:rsid w:val="001315B2"/>
    <w:rsid w:val="00170561"/>
    <w:rsid w:val="00186AC9"/>
    <w:rsid w:val="00197DF1"/>
    <w:rsid w:val="001B3DD9"/>
    <w:rsid w:val="001B7E5D"/>
    <w:rsid w:val="001D3BAC"/>
    <w:rsid w:val="00216025"/>
    <w:rsid w:val="00245C4E"/>
    <w:rsid w:val="002B79A7"/>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E1E5B"/>
    <w:rsid w:val="005F07AC"/>
    <w:rsid w:val="005F1745"/>
    <w:rsid w:val="00626097"/>
    <w:rsid w:val="006A1802"/>
    <w:rsid w:val="006C0CBB"/>
    <w:rsid w:val="006C74EA"/>
    <w:rsid w:val="00720D40"/>
    <w:rsid w:val="007318D4"/>
    <w:rsid w:val="00765784"/>
    <w:rsid w:val="007A4390"/>
    <w:rsid w:val="007E5CB7"/>
    <w:rsid w:val="00806AE8"/>
    <w:rsid w:val="008314D2"/>
    <w:rsid w:val="00843C08"/>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0181"/>
    <w:rsid w:val="00A86015"/>
    <w:rsid w:val="00A9594E"/>
    <w:rsid w:val="00AE59C8"/>
    <w:rsid w:val="00B10098"/>
    <w:rsid w:val="00B5790D"/>
    <w:rsid w:val="00B945C5"/>
    <w:rsid w:val="00BA20EA"/>
    <w:rsid w:val="00BB5AFC"/>
    <w:rsid w:val="00BC0A56"/>
    <w:rsid w:val="00C44876"/>
    <w:rsid w:val="00C45366"/>
    <w:rsid w:val="00C57023"/>
    <w:rsid w:val="00C74052"/>
    <w:rsid w:val="00CB187A"/>
    <w:rsid w:val="00CC0EC7"/>
    <w:rsid w:val="00CC251A"/>
    <w:rsid w:val="00CC6C93"/>
    <w:rsid w:val="00CF2C98"/>
    <w:rsid w:val="00D1088B"/>
    <w:rsid w:val="00D1286F"/>
    <w:rsid w:val="00D14DE6"/>
    <w:rsid w:val="00D156D2"/>
    <w:rsid w:val="00D35486"/>
    <w:rsid w:val="00D53E29"/>
    <w:rsid w:val="00D86943"/>
    <w:rsid w:val="00DA3C6B"/>
    <w:rsid w:val="00DA47B9"/>
    <w:rsid w:val="00DE5635"/>
    <w:rsid w:val="00DE728B"/>
    <w:rsid w:val="00E058D3"/>
    <w:rsid w:val="00E12CA0"/>
    <w:rsid w:val="00E2236D"/>
    <w:rsid w:val="00E76AD9"/>
    <w:rsid w:val="00E86EE2"/>
    <w:rsid w:val="00E91E2F"/>
    <w:rsid w:val="00EA3546"/>
    <w:rsid w:val="00EB47AE"/>
    <w:rsid w:val="00EC34E1"/>
    <w:rsid w:val="00EE41E3"/>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0307EE3A-E916-4143-9F5F-D7B5CB632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2</Pages>
  <Words>491</Words>
  <Characters>2367</Characters>
  <Application>Microsoft Office Word</Application>
  <DocSecurity>0</DocSecurity>
  <Lines>68</Lines>
  <Paragraphs>17</Paragraphs>
  <ScaleCrop>false</ScaleCrop>
  <Company> </Company>
  <LinksUpToDate>false</LinksUpToDate>
  <CharactersWithSpaces>2860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96 Text of Previous Version (Dec. 12, 2018) - South Carolina Legislature Online</dc:title>
  <dc:subject/>
  <dc:creator>Rebecca Landau</dc:creator>
  <cp:keywords/>
  <dc:description/>
  <cp:lastModifiedBy>S Volk</cp:lastModifiedBy>
  <cp:revision>2</cp:revision>
  <dcterms:created xsi:type="dcterms:W3CDTF">2018-12-12T19:59:00Z</dcterms:created>
  <dcterms:modified xsi:type="dcterms:W3CDTF">2018-12-12T19:59:00Z</dcterms:modified>
</cp:coreProperties>
</file>