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786" w:rsidRDefault="00E127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58F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511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1885 SO AS TO PROVIDE THE CIRCUMSTANCES WHEN IT IS LAWFUL TO DRIVE A VEHICLE IN THE LEFT LANE OF AN INTERSTATE HIGHWAY, AND TO PROVIDE THE CIRCUMSTANCES UNDER WHICH A TRAFFIC TICKET MAY BE ISSUED FOR THE VIOLATION OF THIS PROVISION.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58F3" w:rsidRDefault="000D5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D58F3" w:rsidRDefault="000D5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13, Chapter 5, Title 56 of the 1976 Code is amended by adding:</w:t>
      </w:r>
      <w:r>
        <w:tab/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1885.</w:t>
      </w:r>
      <w:r>
        <w:tab/>
        <w:t>(A)</w:t>
      </w:r>
      <w:r>
        <w:tab/>
        <w:t>A vehicle may not be driven in the furthest left lane of an interstate highway except when overtaking and passing another vehicle.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Subsection (A) of this section does not apply: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when no other vehicle is directly behind the vehicle in the left lane;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when traffic conditions and congestion make it impractical to drive in the right lane;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when snow and other inclement weather conditions make it safer to drive in the left lane;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when obstructions or hazards exist in the right lane;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(5)</w:t>
      </w:r>
      <w:r>
        <w:tab/>
        <w:t>when because of highway design, a vehicle must be driven in the left lane when preparing to exit; or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(6)</w:t>
      </w:r>
      <w:r>
        <w:tab/>
        <w:t>to law enforcement vehicles, ambulances, and other emergency vehicles engaged in official duties and vehicles engaged in highway maintenance and construction operations.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(C)</w:t>
      </w:r>
      <w:r>
        <w:tab/>
        <w:t>Nothing in this section shall limit the Department of Transportation</w:t>
      </w:r>
      <w:r w:rsidRPr="008B5111">
        <w:t>’</w:t>
      </w:r>
      <w:r>
        <w:t xml:space="preserve">s ability to establish and delineate lane restrictions for certain types of vehicles. 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For a period of ninety days after the effective date of this section, only warning tickets may be issued for a violation of the provisions of subsection (A).”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8F3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91F86" w:rsidRDefault="008B511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2786" w:rsidRDefault="00E12786" w:rsidP="00E12786">
      <w:pPr>
        <w:suppressAutoHyphens/>
      </w:pPr>
    </w:p>
    <w:sectPr w:rsidR="00E12786" w:rsidSect="00E127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8F3" w:rsidRDefault="000D58F3" w:rsidP="009F0C77">
      <w:r>
        <w:separator/>
      </w:r>
    </w:p>
  </w:endnote>
  <w:endnote w:type="continuationSeparator" w:id="0">
    <w:p w:rsidR="000D58F3" w:rsidRDefault="000D58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8CF8EF-5BA9-44E1-ADED-FC153CE66C3D}"/>
    <w:embedBold r:id="rId2" w:fontKey="{17272756-52DA-44E1-A932-6663B4E71E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65BBC7-C484-4888-B0EE-F517687635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8984E73-CCDB-463D-BE5E-29DE2A41FD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9D5AC0-A28D-40CD-B61C-1677F78E99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F86" w:rsidRPr="00E12786" w:rsidRDefault="00E12786" w:rsidP="00E12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8F3" w:rsidRDefault="000D58F3" w:rsidP="009F0C77">
      <w:r>
        <w:separator/>
      </w:r>
    </w:p>
  </w:footnote>
  <w:footnote w:type="continuationSeparator" w:id="0">
    <w:p w:rsidR="000D58F3" w:rsidRDefault="000D58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577CM19"/>
    <w:docVar w:name="CoverBillType" w:val="b"/>
    <w:docVar w:name="DocPath" w:val="L:\Council\bills\GT\5577CM19.DOCX"/>
    <w:docVar w:name="dvBillNumber" w:val="9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0D58F3"/>
    <w:rsid w:val="000263D9"/>
    <w:rsid w:val="00026C9A"/>
    <w:rsid w:val="000965A1"/>
    <w:rsid w:val="000C487D"/>
    <w:rsid w:val="000D58F3"/>
    <w:rsid w:val="000D7A68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1F86"/>
    <w:rsid w:val="008B5111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36A2"/>
    <w:rsid w:val="00E12786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73A3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476038-1B6E-4E2A-A05B-9232A309C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A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A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96D23-5C42-4F5A-B2E8-CC7887E1F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284</Words>
  <Characters>1383</Characters>
  <Application>Microsoft Office Word</Application>
  <DocSecurity>0</DocSecurity>
  <Lines>49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 Text of Previous Version (Dec. 12, 2018) - South Carolina Legislature Online</dc:title>
  <dc:subject/>
  <dc:creator>Gwen Thurmond</dc:creator>
  <cp:keywords/>
  <dc:description/>
  <cp:lastModifiedBy>S Volk</cp:lastModifiedBy>
  <cp:revision>2</cp:revision>
  <cp:lastPrinted>2018-12-07T19:56:00Z</cp:lastPrinted>
  <dcterms:created xsi:type="dcterms:W3CDTF">2018-12-12T19:00:00Z</dcterms:created>
  <dcterms:modified xsi:type="dcterms:W3CDTF">2018-12-12T19:00:00Z</dcterms:modified>
</cp:coreProperties>
</file>