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23B9" w:rsidRDefault="00F823B9" w:rsidP="00F823B9">
      <w:pPr>
        <w:widowControl w:val="0"/>
        <w:jc w:val="center"/>
      </w:pPr>
      <w:r w:rsidRPr="00F823B9">
        <w:rPr>
          <w:b/>
        </w:rPr>
        <w:t>South Carolina General Assembly</w:t>
      </w:r>
    </w:p>
    <w:p w:rsidR="00F823B9" w:rsidRDefault="00F823B9" w:rsidP="00F823B9">
      <w:pPr>
        <w:widowControl w:val="0"/>
        <w:jc w:val="center"/>
      </w:pPr>
      <w:r>
        <w:t>124th Session, 2021-2022</w:t>
      </w:r>
    </w:p>
    <w:p w:rsidR="00F823B9" w:rsidRDefault="00F823B9" w:rsidP="00F823B9">
      <w:pPr>
        <w:widowControl w:val="0"/>
        <w:jc w:val="left"/>
      </w:pPr>
    </w:p>
    <w:p w:rsidR="00F823B9" w:rsidRDefault="00F823B9" w:rsidP="00F823B9">
      <w:pPr>
        <w:widowControl w:val="0"/>
        <w:jc w:val="left"/>
        <w:rPr>
          <w:b/>
        </w:rPr>
      </w:pPr>
      <w:r w:rsidRPr="00F823B9">
        <w:rPr>
          <w:b/>
        </w:rPr>
        <w:t>S.</w:t>
      </w:r>
      <w:r>
        <w:rPr>
          <w:b/>
        </w:rPr>
        <w:t xml:space="preserve"> </w:t>
      </w:r>
      <w:r w:rsidRPr="00F823B9">
        <w:rPr>
          <w:b/>
        </w:rPr>
        <w:t>121</w:t>
      </w:r>
    </w:p>
    <w:p w:rsidR="00F823B9" w:rsidRDefault="00F823B9" w:rsidP="00F823B9">
      <w:pPr>
        <w:widowControl w:val="0"/>
        <w:jc w:val="left"/>
        <w:rPr>
          <w:b/>
        </w:rPr>
      </w:pPr>
    </w:p>
    <w:p w:rsidR="00F823B9" w:rsidRDefault="00F823B9" w:rsidP="00F823B9">
      <w:pPr>
        <w:widowControl w:val="0"/>
        <w:jc w:val="left"/>
      </w:pPr>
      <w:r w:rsidRPr="00F823B9">
        <w:rPr>
          <w:b/>
        </w:rPr>
        <w:t>STATUS INFORMATION</w:t>
      </w:r>
    </w:p>
    <w:p w:rsidR="00F823B9" w:rsidRDefault="00F823B9" w:rsidP="00F823B9">
      <w:pPr>
        <w:widowControl w:val="0"/>
        <w:jc w:val="left"/>
      </w:pPr>
    </w:p>
    <w:p w:rsidR="00F823B9" w:rsidRDefault="00F823B9" w:rsidP="00F823B9">
      <w:pPr>
        <w:widowControl w:val="0"/>
        <w:jc w:val="left"/>
      </w:pPr>
      <w:r>
        <w:t>General Bill</w:t>
      </w:r>
    </w:p>
    <w:p w:rsidR="00F823B9" w:rsidRDefault="00F823B9" w:rsidP="00F823B9">
      <w:pPr>
        <w:widowControl w:val="0"/>
        <w:jc w:val="left"/>
      </w:pPr>
      <w:r>
        <w:t>Sponsors: Senator Campsen</w:t>
      </w:r>
    </w:p>
    <w:p w:rsidR="00F823B9" w:rsidRDefault="00F823B9" w:rsidP="00F823B9">
      <w:pPr>
        <w:widowControl w:val="0"/>
        <w:jc w:val="left"/>
      </w:pPr>
      <w:r>
        <w:t>Document Path: l:\council\bills\sm\20135sa21.docx</w:t>
      </w:r>
    </w:p>
    <w:p w:rsidR="00F823B9" w:rsidRDefault="00F823B9" w:rsidP="00F823B9">
      <w:pPr>
        <w:widowControl w:val="0"/>
        <w:jc w:val="left"/>
      </w:pPr>
    </w:p>
    <w:p w:rsidR="0062608B" w:rsidRDefault="0062608B" w:rsidP="00F823B9">
      <w:pPr>
        <w:widowControl w:val="0"/>
        <w:jc w:val="left"/>
      </w:pPr>
      <w:r>
        <w:t>Introduced in the Senate on January 12, 2021</w:t>
      </w:r>
    </w:p>
    <w:p w:rsidR="0062608B" w:rsidRPr="0062608B" w:rsidRDefault="0062608B" w:rsidP="00F823B9">
      <w:pPr>
        <w:widowControl w:val="0"/>
        <w:jc w:val="left"/>
      </w:pPr>
      <w:r>
        <w:t xml:space="preserve">Currently residing in the Senate Committee on </w:t>
      </w:r>
      <w:r w:rsidRPr="0062608B">
        <w:rPr>
          <w:b/>
        </w:rPr>
        <w:t>Finance</w:t>
      </w:r>
    </w:p>
    <w:p w:rsidR="0062608B" w:rsidRDefault="0062608B" w:rsidP="00F823B9">
      <w:pPr>
        <w:widowControl w:val="0"/>
        <w:jc w:val="left"/>
      </w:pPr>
    </w:p>
    <w:p w:rsidR="00F823B9" w:rsidRDefault="00BA2E30" w:rsidP="00F823B9">
      <w:pPr>
        <w:widowControl w:val="0"/>
        <w:jc w:val="left"/>
      </w:pPr>
      <w:r>
        <w:t>Summary: Long-term Care Tax Credit Act</w:t>
      </w:r>
    </w:p>
    <w:p w:rsidR="00F823B9" w:rsidRDefault="00F823B9" w:rsidP="00F823B9">
      <w:pPr>
        <w:widowControl w:val="0"/>
        <w:jc w:val="left"/>
      </w:pPr>
    </w:p>
    <w:p w:rsidR="00F823B9" w:rsidRDefault="00F823B9" w:rsidP="00F823B9">
      <w:pPr>
        <w:widowControl w:val="0"/>
        <w:jc w:val="left"/>
      </w:pPr>
    </w:p>
    <w:p w:rsidR="00F823B9" w:rsidRDefault="00F823B9" w:rsidP="00F823B9">
      <w:pPr>
        <w:widowControl w:val="0"/>
        <w:tabs>
          <w:tab w:val="center" w:pos="590"/>
          <w:tab w:val="center" w:pos="1440"/>
          <w:tab w:val="left" w:pos="1872"/>
          <w:tab w:val="left" w:pos="9187"/>
        </w:tabs>
        <w:jc w:val="left"/>
      </w:pPr>
      <w:r w:rsidRPr="00F823B9">
        <w:rPr>
          <w:b/>
        </w:rPr>
        <w:t>HISTORY OF LEGISLATIVE ACTIONS</w:t>
      </w:r>
    </w:p>
    <w:p w:rsidR="00F823B9" w:rsidRDefault="00F823B9" w:rsidP="00F823B9">
      <w:pPr>
        <w:widowControl w:val="0"/>
        <w:tabs>
          <w:tab w:val="center" w:pos="590"/>
          <w:tab w:val="center" w:pos="1440"/>
          <w:tab w:val="left" w:pos="1872"/>
          <w:tab w:val="left" w:pos="9187"/>
        </w:tabs>
        <w:jc w:val="left"/>
      </w:pPr>
    </w:p>
    <w:p w:rsidR="00F823B9" w:rsidRPr="00F823B9" w:rsidRDefault="00F823B9" w:rsidP="00F823B9">
      <w:pPr>
        <w:widowControl w:val="0"/>
        <w:tabs>
          <w:tab w:val="center" w:pos="590"/>
          <w:tab w:val="center" w:pos="1440"/>
          <w:tab w:val="left" w:pos="1872"/>
          <w:tab w:val="left" w:pos="9187"/>
        </w:tabs>
        <w:jc w:val="left"/>
      </w:pPr>
      <w:r w:rsidRPr="00F823B9">
        <w:rPr>
          <w:u w:val="single"/>
        </w:rPr>
        <w:tab/>
        <w:t>Date</w:t>
      </w:r>
      <w:r w:rsidRPr="00F823B9">
        <w:rPr>
          <w:u w:val="single"/>
        </w:rPr>
        <w:tab/>
        <w:t>Body</w:t>
      </w:r>
      <w:r w:rsidRPr="00F823B9">
        <w:rPr>
          <w:u w:val="single"/>
        </w:rPr>
        <w:tab/>
        <w:t>Action Description with journal page number</w:t>
      </w:r>
      <w:r w:rsidRPr="00F823B9">
        <w:rPr>
          <w:u w:val="single"/>
        </w:rPr>
        <w:tab/>
      </w:r>
    </w:p>
    <w:p w:rsidR="00D42CC5" w:rsidRDefault="00D42CC5" w:rsidP="00D42CC5">
      <w:pPr>
        <w:widowControl w:val="0"/>
        <w:tabs>
          <w:tab w:val="right" w:pos="1008"/>
          <w:tab w:val="left" w:pos="1152"/>
          <w:tab w:val="left" w:pos="1872"/>
          <w:tab w:val="left" w:pos="9187"/>
        </w:tabs>
        <w:ind w:left="2088" w:hanging="2088"/>
      </w:pPr>
      <w:r>
        <w:tab/>
        <w:t>12/9/2020</w:t>
      </w:r>
      <w:r>
        <w:tab/>
        <w:t>Senate</w:t>
      </w:r>
      <w:r>
        <w:tab/>
        <w:t>Prefiled</w:t>
      </w:r>
    </w:p>
    <w:p w:rsidR="00D42CC5" w:rsidRDefault="00D42CC5" w:rsidP="00D42CC5">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72766C">
        <w:rPr>
          <w:b/>
        </w:rPr>
        <w:t>Finance</w:t>
      </w:r>
    </w:p>
    <w:p w:rsidR="00D42CC5" w:rsidRDefault="00D42CC5" w:rsidP="00D42CC5">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72766C">
          <w:rPr>
            <w:rStyle w:val="Hyperlink"/>
          </w:rPr>
          <w:t>Senate Journal</w:t>
        </w:r>
        <w:r w:rsidRPr="0072766C">
          <w:rPr>
            <w:rStyle w:val="Hyperlink"/>
          </w:rPr>
          <w:noBreakHyphen/>
          <w:t>page 181</w:t>
        </w:r>
      </w:hyperlink>
      <w:r>
        <w:t>)</w:t>
      </w:r>
    </w:p>
    <w:p w:rsidR="00D42CC5" w:rsidRDefault="00D42CC5" w:rsidP="00D42CC5">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72766C">
        <w:rPr>
          <w:b/>
        </w:rPr>
        <w:t>Finance</w:t>
      </w:r>
      <w:r>
        <w:t xml:space="preserve"> (</w:t>
      </w:r>
      <w:hyperlink r:id="rId8" w:history="1">
        <w:r w:rsidRPr="0072766C">
          <w:rPr>
            <w:rStyle w:val="Hyperlink"/>
          </w:rPr>
          <w:t>Senate Journal</w:t>
        </w:r>
        <w:r w:rsidRPr="0072766C">
          <w:rPr>
            <w:rStyle w:val="Hyperlink"/>
          </w:rPr>
          <w:noBreakHyphen/>
          <w:t>page 181</w:t>
        </w:r>
      </w:hyperlink>
      <w:r>
        <w:t>)</w:t>
      </w:r>
    </w:p>
    <w:p w:rsidR="00D42CC5" w:rsidRDefault="00D42CC5" w:rsidP="00D42CC5">
      <w:pPr>
        <w:widowControl w:val="0"/>
        <w:tabs>
          <w:tab w:val="right" w:pos="1008"/>
          <w:tab w:val="left" w:pos="1152"/>
          <w:tab w:val="left" w:pos="1872"/>
          <w:tab w:val="left" w:pos="9187"/>
        </w:tabs>
        <w:ind w:left="2088" w:hanging="2088"/>
      </w:pPr>
    </w:p>
    <w:p w:rsidR="00F823B9" w:rsidRDefault="00F823B9" w:rsidP="00F823B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823B9">
          <w:rPr>
            <w:rStyle w:val="Hyperlink"/>
          </w:rPr>
          <w:t>legislative information</w:t>
        </w:r>
      </w:hyperlink>
      <w:r>
        <w:t xml:space="preserve"> at the website</w:t>
      </w:r>
    </w:p>
    <w:p w:rsidR="00F823B9" w:rsidRDefault="00F823B9" w:rsidP="00F823B9">
      <w:pPr>
        <w:widowControl w:val="0"/>
        <w:tabs>
          <w:tab w:val="right" w:pos="1008"/>
          <w:tab w:val="left" w:pos="1152"/>
          <w:tab w:val="left" w:pos="1872"/>
          <w:tab w:val="left" w:pos="9187"/>
        </w:tabs>
        <w:ind w:left="2088" w:hanging="2088"/>
        <w:jc w:val="left"/>
      </w:pPr>
    </w:p>
    <w:p w:rsidR="00F823B9" w:rsidRPr="00F823B9" w:rsidRDefault="00F823B9" w:rsidP="00F823B9">
      <w:pPr>
        <w:widowControl w:val="0"/>
        <w:tabs>
          <w:tab w:val="right" w:pos="1008"/>
          <w:tab w:val="left" w:pos="1152"/>
          <w:tab w:val="left" w:pos="1872"/>
          <w:tab w:val="left" w:pos="9187"/>
        </w:tabs>
        <w:ind w:left="2088" w:hanging="2088"/>
        <w:jc w:val="left"/>
      </w:pPr>
    </w:p>
    <w:p w:rsidR="00F823B9" w:rsidRDefault="00F823B9" w:rsidP="00F823B9">
      <w:pPr>
        <w:widowControl w:val="0"/>
        <w:jc w:val="left"/>
      </w:pPr>
      <w:r w:rsidRPr="00F823B9">
        <w:rPr>
          <w:b/>
        </w:rPr>
        <w:t>VERSIONS OF THIS BILL</w:t>
      </w:r>
    </w:p>
    <w:p w:rsidR="00F823B9" w:rsidRDefault="00F823B9" w:rsidP="00F823B9">
      <w:pPr>
        <w:widowControl w:val="0"/>
        <w:jc w:val="left"/>
      </w:pPr>
    </w:p>
    <w:p w:rsidR="00F823B9" w:rsidRDefault="00385989" w:rsidP="00F823B9">
      <w:pPr>
        <w:widowControl w:val="0"/>
        <w:jc w:val="left"/>
      </w:pPr>
      <w:hyperlink r:id="rId10" w:history="1">
        <w:r w:rsidR="00F823B9">
          <w:rPr>
            <w:rStyle w:val="Hyperlink"/>
          </w:rPr>
          <w:t>12/9/2020</w:t>
        </w:r>
      </w:hyperlink>
    </w:p>
    <w:p w:rsidR="00F823B9" w:rsidRDefault="00F823B9" w:rsidP="00F823B9"/>
    <w:p w:rsidR="00F823B9" w:rsidRDefault="00F823B9" w:rsidP="00F823B9">
      <w:pPr>
        <w:sectPr w:rsidR="00F823B9" w:rsidSect="00F823B9">
          <w:pgSz w:w="12240" w:h="15840" w:code="1"/>
          <w:pgMar w:top="1080" w:right="1440" w:bottom="1080" w:left="1440" w:header="720" w:footer="720" w:gutter="0"/>
          <w:cols w:space="720"/>
          <w:noEndnote/>
          <w:docGrid w:linePitch="360"/>
        </w:sectPr>
      </w:pPr>
    </w:p>
    <w:p w:rsidR="00F35F9D" w:rsidRDefault="00F35F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5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7F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7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THE CODE OF LAWS OF SOUTH CAROLINA, 1976, </w:t>
      </w:r>
      <w:r w:rsidRPr="00322C00">
        <w:rPr>
          <w:color w:val="000000" w:themeColor="text1"/>
          <w:u w:color="000000" w:themeColor="text1"/>
        </w:rPr>
        <w:t>TO ENACT THE “LONG</w:t>
      </w:r>
      <w:r>
        <w:rPr>
          <w:color w:val="000000" w:themeColor="text1"/>
          <w:u w:color="000000" w:themeColor="text1"/>
        </w:rPr>
        <w:noBreakHyphen/>
      </w:r>
      <w:r w:rsidRPr="00322C00">
        <w:rPr>
          <w:color w:val="000000" w:themeColor="text1"/>
          <w:u w:color="000000" w:themeColor="text1"/>
        </w:rPr>
        <w:t>TERM CARE TAX CREDIT ACT” BY ADDING SECTION 12</w:t>
      </w:r>
      <w:r>
        <w:rPr>
          <w:color w:val="000000" w:themeColor="text1"/>
          <w:u w:color="000000" w:themeColor="text1"/>
        </w:rPr>
        <w:noBreakHyphen/>
      </w:r>
      <w:r w:rsidRPr="00322C00">
        <w:rPr>
          <w:color w:val="000000" w:themeColor="text1"/>
          <w:u w:color="000000" w:themeColor="text1"/>
        </w:rPr>
        <w:t>6</w:t>
      </w:r>
      <w:r>
        <w:rPr>
          <w:color w:val="000000" w:themeColor="text1"/>
          <w:u w:color="000000" w:themeColor="text1"/>
        </w:rPr>
        <w:noBreakHyphen/>
      </w:r>
      <w:r w:rsidRPr="00322C00">
        <w:rPr>
          <w:color w:val="000000" w:themeColor="text1"/>
          <w:u w:color="000000" w:themeColor="text1"/>
        </w:rPr>
        <w:t>3395</w:t>
      </w:r>
      <w:r>
        <w:rPr>
          <w:color w:val="000000" w:themeColor="text1"/>
          <w:u w:color="000000" w:themeColor="text1"/>
        </w:rPr>
        <w:t xml:space="preserve"> SO AS</w:t>
      </w:r>
      <w:r w:rsidRPr="00322C00">
        <w:rPr>
          <w:color w:val="000000" w:themeColor="text1"/>
          <w:u w:color="000000" w:themeColor="text1"/>
        </w:rPr>
        <w:t xml:space="preserve"> TO ALLOW A STATE INDIVIDUAL INCOME TAX CREDIT OF FIFTEEN PERCENT OF THE TOTAL AMOUNT OF PREMIUMS PAID BY A TAXPAYER PURSUANT TO A LONG</w:t>
      </w:r>
      <w:r>
        <w:rPr>
          <w:color w:val="000000" w:themeColor="text1"/>
          <w:u w:color="000000" w:themeColor="text1"/>
        </w:rPr>
        <w:noBreakHyphen/>
      </w:r>
      <w:r w:rsidRPr="00322C00">
        <w:rPr>
          <w:color w:val="000000" w:themeColor="text1"/>
          <w:u w:color="000000" w:themeColor="text1"/>
        </w:rPr>
        <w:t xml:space="preserve">TERM CARE INSURANCE CONTRACT, NOT TO EXCEED </w:t>
      </w:r>
      <w:r>
        <w:rPr>
          <w:color w:val="000000" w:themeColor="text1"/>
          <w:u w:color="000000" w:themeColor="text1"/>
        </w:rPr>
        <w:t>TWO THOUSAND</w:t>
      </w:r>
      <w:r w:rsidRPr="00322C00">
        <w:rPr>
          <w:color w:val="000000" w:themeColor="text1"/>
          <w:u w:color="000000" w:themeColor="text1"/>
        </w:rPr>
        <w:t xml:space="preserve"> DOLLARS IN A TAXABLE YEAR F</w:t>
      </w:r>
      <w:r>
        <w:rPr>
          <w:color w:val="000000" w:themeColor="text1"/>
          <w:u w:color="000000" w:themeColor="text1"/>
        </w:rPr>
        <w:t>OR EACH INDIVIDUAL</w:t>
      </w:r>
      <w:r w:rsidRPr="00322C00">
        <w:rPr>
          <w:color w:val="000000" w:themeColor="text1"/>
          <w:u w:color="000000" w:themeColor="text1"/>
        </w:rPr>
        <w:t>, AND TO PROHIBIT A DOUBLE BENEFIT.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7BB2" w:rsidRPr="00EF2A02" w:rsidRDefault="00597F3B"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E7BB2" w:rsidRPr="00EF2A02">
        <w:rPr>
          <w:color w:val="000000" w:themeColor="text1"/>
          <w:u w:color="000000" w:themeColor="text1"/>
        </w:rPr>
        <w:t>This act may be cited as the “Long</w:t>
      </w:r>
      <w:r w:rsidR="00FE7BB2">
        <w:rPr>
          <w:color w:val="000000" w:themeColor="text1"/>
          <w:u w:color="000000" w:themeColor="text1"/>
        </w:rPr>
        <w:noBreakHyphen/>
        <w:t>Term Care Tax Credit Act.”</w:t>
      </w: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SECTION</w:t>
      </w:r>
      <w:r w:rsidRPr="00EF2A02">
        <w:rPr>
          <w:color w:val="000000" w:themeColor="text1"/>
          <w:u w:color="000000" w:themeColor="text1"/>
        </w:rPr>
        <w:tab/>
        <w:t>2.</w:t>
      </w:r>
      <w:r w:rsidRPr="00EF2A02">
        <w:rPr>
          <w:color w:val="000000" w:themeColor="text1"/>
          <w:u w:color="000000" w:themeColor="text1"/>
        </w:rPr>
        <w:tab/>
        <w:t>Article 25, Chapter 6, Title 12 of the 1976 Code is amended by adding:</w:t>
      </w: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ab/>
        <w:t>“Section 12</w:t>
      </w:r>
      <w:r>
        <w:rPr>
          <w:color w:val="000000" w:themeColor="text1"/>
          <w:u w:color="000000" w:themeColor="text1"/>
        </w:rPr>
        <w:noBreakHyphen/>
      </w:r>
      <w:r w:rsidRPr="00EF2A02">
        <w:rPr>
          <w:color w:val="000000" w:themeColor="text1"/>
          <w:u w:color="000000" w:themeColor="text1"/>
        </w:rPr>
        <w:t>6</w:t>
      </w:r>
      <w:r>
        <w:rPr>
          <w:color w:val="000000" w:themeColor="text1"/>
          <w:u w:color="000000" w:themeColor="text1"/>
        </w:rPr>
        <w:noBreakHyphen/>
      </w:r>
      <w:r w:rsidRPr="00EF2A02">
        <w:rPr>
          <w:color w:val="000000" w:themeColor="text1"/>
          <w:u w:color="000000" w:themeColor="text1"/>
        </w:rPr>
        <w:t>3395.</w:t>
      </w:r>
      <w:r w:rsidRPr="00EF2A02">
        <w:rPr>
          <w:color w:val="000000" w:themeColor="text1"/>
          <w:u w:color="000000" w:themeColor="text1"/>
        </w:rPr>
        <w:tab/>
        <w:t>(A)</w:t>
      </w:r>
      <w:r w:rsidRPr="00EF2A02">
        <w:rPr>
          <w:color w:val="000000" w:themeColor="text1"/>
          <w:u w:color="000000" w:themeColor="text1"/>
        </w:rPr>
        <w:tab/>
        <w:t>An individual taxpayer may claim as a credit against the income tax imposed by this chapter an amount equal to fifteen percent of the premium costs the individual paid during the taxable year on a qualified contract for long</w:t>
      </w:r>
      <w:r>
        <w:rPr>
          <w:color w:val="000000" w:themeColor="text1"/>
          <w:u w:color="000000" w:themeColor="text1"/>
        </w:rPr>
        <w:noBreakHyphen/>
      </w:r>
      <w:r w:rsidRPr="00EF2A02">
        <w:rPr>
          <w:color w:val="000000" w:themeColor="text1"/>
          <w:u w:color="000000" w:themeColor="text1"/>
        </w:rPr>
        <w:t>term care insurance, as defined in Section 38</w:t>
      </w:r>
      <w:r>
        <w:rPr>
          <w:color w:val="000000" w:themeColor="text1"/>
          <w:u w:color="000000" w:themeColor="text1"/>
        </w:rPr>
        <w:noBreakHyphen/>
      </w:r>
      <w:r w:rsidRPr="00EF2A02">
        <w:rPr>
          <w:color w:val="000000" w:themeColor="text1"/>
          <w:u w:color="000000" w:themeColor="text1"/>
        </w:rPr>
        <w:t>72</w:t>
      </w:r>
      <w:r>
        <w:rPr>
          <w:color w:val="000000" w:themeColor="text1"/>
          <w:u w:color="000000" w:themeColor="text1"/>
        </w:rPr>
        <w:noBreakHyphen/>
      </w:r>
      <w:r w:rsidRPr="00EF2A02">
        <w:rPr>
          <w:color w:val="000000" w:themeColor="text1"/>
          <w:u w:color="000000" w:themeColor="text1"/>
        </w:rPr>
        <w:t xml:space="preserve">40(1), that offers coverage to the individual, his spouse, or a dependent for whom he was allowed to deduct a personal exemption on his federal individual income tax return for the taxable year. The credit allowed by this section may not exceed </w:t>
      </w:r>
      <w:r>
        <w:rPr>
          <w:color w:val="000000" w:themeColor="text1"/>
          <w:u w:color="000000" w:themeColor="text1"/>
        </w:rPr>
        <w:t>two thousand</w:t>
      </w:r>
      <w:r w:rsidRPr="00EF2A02">
        <w:rPr>
          <w:color w:val="000000" w:themeColor="text1"/>
          <w:u w:color="000000" w:themeColor="text1"/>
        </w:rPr>
        <w:t xml:space="preserve"> dollars for each qualifying individual covered by one or more qualified long</w:t>
      </w:r>
      <w:r>
        <w:rPr>
          <w:color w:val="000000" w:themeColor="text1"/>
          <w:u w:color="000000" w:themeColor="text1"/>
        </w:rPr>
        <w:noBreakHyphen/>
      </w:r>
      <w:r w:rsidRPr="00EF2A02">
        <w:rPr>
          <w:color w:val="000000" w:themeColor="text1"/>
          <w:u w:color="000000" w:themeColor="text1"/>
        </w:rPr>
        <w:t xml:space="preserve">term care insurance contracts for which a credit is claimed. The credit may not exceed the amount of tax imposed by this chapter for the taxable year reduced by the sum of all credits allowed, except payments of tax made by or on </w:t>
      </w:r>
      <w:r w:rsidRPr="00EF2A02">
        <w:rPr>
          <w:color w:val="000000" w:themeColor="text1"/>
          <w:u w:color="000000" w:themeColor="text1"/>
        </w:rPr>
        <w:lastRenderedPageBreak/>
        <w:t xml:space="preserve">behalf of the taxpayer. A nonresident who claims the credit allowed by this section shall reduce the amount of the credit in the same manner as nonresident individuals reduce personal exemptions and </w:t>
      </w:r>
      <w:r>
        <w:rPr>
          <w:color w:val="000000" w:themeColor="text1"/>
          <w:u w:color="000000" w:themeColor="text1"/>
        </w:rPr>
        <w:t xml:space="preserve">the </w:t>
      </w:r>
      <w:r w:rsidRPr="00EF2A02">
        <w:rPr>
          <w:color w:val="000000" w:themeColor="text1"/>
          <w:u w:color="000000" w:themeColor="text1"/>
        </w:rPr>
        <w:t>applicable standard deduction or itemized deductions pursuant to Section 12</w:t>
      </w:r>
      <w:r>
        <w:rPr>
          <w:color w:val="000000" w:themeColor="text1"/>
          <w:u w:color="000000" w:themeColor="text1"/>
        </w:rPr>
        <w:noBreakHyphen/>
      </w:r>
      <w:r w:rsidRPr="00EF2A02">
        <w:rPr>
          <w:color w:val="000000" w:themeColor="text1"/>
          <w:u w:color="000000" w:themeColor="text1"/>
        </w:rPr>
        <w:t>6</w:t>
      </w:r>
      <w:r>
        <w:rPr>
          <w:color w:val="000000" w:themeColor="text1"/>
          <w:u w:color="000000" w:themeColor="text1"/>
        </w:rPr>
        <w:noBreakHyphen/>
      </w:r>
      <w:r w:rsidRPr="00EF2A02">
        <w:rPr>
          <w:color w:val="000000" w:themeColor="text1"/>
          <w:u w:color="000000" w:themeColor="text1"/>
        </w:rPr>
        <w:t>1720(2).</w:t>
      </w:r>
    </w:p>
    <w:p w:rsidR="00FE7BB2" w:rsidRPr="00EF2A0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ab/>
        <w:t>(B)</w:t>
      </w:r>
      <w:r w:rsidRPr="00EF2A02">
        <w:rPr>
          <w:color w:val="000000" w:themeColor="text1"/>
          <w:u w:color="000000" w:themeColor="text1"/>
        </w:rPr>
        <w:tab/>
        <w:t xml:space="preserve">A credit is not allowed for payments that are deducted or excluded from the taxpayer’s income for the taxable year, whether the deduction or exclusion was due to a South Carolina modification pursuant to Article 9 of this chapter or was due to an exclusion or deduction </w:t>
      </w:r>
      <w:r>
        <w:rPr>
          <w:color w:val="000000" w:themeColor="text1"/>
          <w:u w:color="000000" w:themeColor="text1"/>
        </w:rPr>
        <w:t>that</w:t>
      </w:r>
      <w:r w:rsidRPr="00EF2A02">
        <w:rPr>
          <w:color w:val="000000" w:themeColor="text1"/>
          <w:u w:color="000000" w:themeColor="text1"/>
        </w:rPr>
        <w:t xml:space="preserve"> resulted in a reduction of the taxpayer’s federal taxable income.</w:t>
      </w:r>
    </w:p>
    <w:p w:rsidR="00597F3B" w:rsidRPr="00FE7BB2" w:rsidRDefault="00FE7BB2" w:rsidP="00FE7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A02">
        <w:rPr>
          <w:color w:val="000000" w:themeColor="text1"/>
          <w:u w:color="000000" w:themeColor="text1"/>
        </w:rPr>
        <w:tab/>
        <w:t>(C)</w:t>
      </w:r>
      <w:r w:rsidRPr="00EF2A02">
        <w:rPr>
          <w:color w:val="000000" w:themeColor="text1"/>
          <w:u w:color="000000" w:themeColor="text1"/>
        </w:rPr>
        <w:tab/>
        <w:t>A taxpayer who claims the credit allowed by this section shall provide information required by the department to demonstrate that the amount paid for premiums for which the credit is claimed was not excluded from the taxpayer’s gross income for the taxable year.”</w:t>
      </w:r>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F3B" w:rsidRDefault="00597F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7BB2">
        <w:t>3</w:t>
      </w:r>
      <w:r>
        <w:t>.</w:t>
      </w:r>
      <w:r>
        <w:tab/>
      </w:r>
      <w:r w:rsidR="00FE7BB2" w:rsidRPr="00EF2A02">
        <w:rPr>
          <w:color w:val="000000" w:themeColor="text1"/>
          <w:u w:color="000000" w:themeColor="text1"/>
        </w:rPr>
        <w:t>This act takes effect upon approval</w:t>
      </w:r>
      <w:r w:rsidR="00FE7BB2">
        <w:rPr>
          <w:color w:val="000000" w:themeColor="text1"/>
          <w:u w:color="000000" w:themeColor="text1"/>
        </w:rPr>
        <w:t xml:space="preserve"> by the Governor</w:t>
      </w:r>
      <w:r w:rsidR="00FE7BB2" w:rsidRPr="00EF2A02">
        <w:rPr>
          <w:color w:val="000000" w:themeColor="text1"/>
          <w:u w:color="000000" w:themeColor="text1"/>
        </w:rPr>
        <w:t xml:space="preserve"> and is effective for t</w:t>
      </w:r>
      <w:r w:rsidR="00FE7BB2">
        <w:rPr>
          <w:color w:val="000000" w:themeColor="text1"/>
          <w:u w:color="000000" w:themeColor="text1"/>
        </w:rPr>
        <w:t>axable years beginning after 2020</w:t>
      </w:r>
      <w:r w:rsidR="00FE7BB2" w:rsidRPr="00EF2A02">
        <w:rPr>
          <w:color w:val="000000" w:themeColor="text1"/>
          <w:u w:color="000000" w:themeColor="text1"/>
        </w:rPr>
        <w:t>.</w:t>
      </w:r>
    </w:p>
    <w:p w:rsidR="00E1726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23B9" w:rsidRDefault="00F823B9" w:rsidP="00F823B9">
      <w:pPr>
        <w:suppressAutoHyphens/>
      </w:pPr>
    </w:p>
    <w:sectPr w:rsidR="00F823B9" w:rsidSect="00F823B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F3B" w:rsidRDefault="00597F3B" w:rsidP="009F0C77">
      <w:r>
        <w:separator/>
      </w:r>
    </w:p>
  </w:endnote>
  <w:endnote w:type="continuationSeparator" w:id="0">
    <w:p w:rsidR="00597F3B" w:rsidRDefault="00597F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59EB4B-77FE-4610-BFC9-977588DB7303}"/>
    <w:embedBold r:id="rId2" w:fontKey="{9606FA6D-DED3-4E5B-8736-2494F97C216F}"/>
  </w:font>
  <w:font w:name="Calibri">
    <w:panose1 w:val="020F0502020204030204"/>
    <w:charset w:val="00"/>
    <w:family w:val="swiss"/>
    <w:pitch w:val="variable"/>
    <w:sig w:usb0="E0002EFF" w:usb1="C000247B" w:usb2="00000009" w:usb3="00000000" w:csb0="000001FF" w:csb1="00000000"/>
    <w:embedRegular r:id="rId3" w:fontKey="{A160B3E1-281F-4ECF-AE43-161BD8D9C90E}"/>
  </w:font>
  <w:font w:name="Cambria">
    <w:panose1 w:val="02040503050406030204"/>
    <w:charset w:val="00"/>
    <w:family w:val="roman"/>
    <w:pitch w:val="variable"/>
    <w:sig w:usb0="E00006FF" w:usb1="420024FF" w:usb2="02000000" w:usb3="00000000" w:csb0="0000019F" w:csb1="00000000"/>
    <w:embedRegular r:id="rId4" w:fontKey="{CE911099-47AE-4C6F-B65A-A3E05D5FC6A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23B9" w:rsidRPr="00F35F9D" w:rsidRDefault="00F823B9" w:rsidP="00F35F9D">
    <w:pPr>
      <w:pStyle w:val="Footer"/>
      <w:tabs>
        <w:tab w:val="clear" w:pos="4680"/>
        <w:tab w:val="clear" w:pos="9360"/>
        <w:tab w:val="center" w:pos="2995"/>
      </w:tabs>
      <w:spacing w:before="120"/>
    </w:pPr>
    <w:r>
      <w:t>[121]</w:t>
    </w:r>
    <w:r>
      <w:tab/>
    </w:r>
    <w:r>
      <w:fldChar w:fldCharType="begin"/>
    </w:r>
    <w:r>
      <w:instrText xml:space="preserve"> PAGE  \* MERGEFORMAT </w:instrText>
    </w:r>
    <w:r>
      <w:fldChar w:fldCharType="separate"/>
    </w:r>
    <w:r w:rsidR="00BA2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F3B" w:rsidRDefault="00597F3B" w:rsidP="009F0C77">
      <w:r>
        <w:separator/>
      </w:r>
    </w:p>
  </w:footnote>
  <w:footnote w:type="continuationSeparator" w:id="0">
    <w:p w:rsidR="00597F3B" w:rsidRDefault="00597F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5SA21"/>
    <w:docVar w:name="CoverBillType" w:val="b"/>
    <w:docVar w:name="DocPath" w:val="L:\Council\bills\SM\20135SA21.DOCX"/>
    <w:docVar w:name="dvBillNumber" w:val="121"/>
    <w:docVar w:name="dvBillNumberPrefix" w:val="S. "/>
    <w:docVar w:name="dvOriginalBody" w:val="Senate"/>
    <w:docVar w:name="dvSteno" w:val="SM"/>
    <w:docVar w:name="NameofBody" w:val="s"/>
    <w:docVar w:name="vGroup2" w:val="Council"/>
  </w:docVars>
  <w:rsids>
    <w:rsidRoot w:val="00597F3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073E"/>
    <w:rsid w:val="004B2A8B"/>
    <w:rsid w:val="00511EE9"/>
    <w:rsid w:val="00521E00"/>
    <w:rsid w:val="00577C6C"/>
    <w:rsid w:val="0058501B"/>
    <w:rsid w:val="00597F3B"/>
    <w:rsid w:val="005C5AC4"/>
    <w:rsid w:val="0061228A"/>
    <w:rsid w:val="006215AA"/>
    <w:rsid w:val="0062608B"/>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A2E3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2CC5"/>
    <w:rsid w:val="00D6260D"/>
    <w:rsid w:val="00D6662B"/>
    <w:rsid w:val="00D95E2F"/>
    <w:rsid w:val="00D970A9"/>
    <w:rsid w:val="00DB3AC0"/>
    <w:rsid w:val="00DC6813"/>
    <w:rsid w:val="00DE68F0"/>
    <w:rsid w:val="00DF3845"/>
    <w:rsid w:val="00DF7E17"/>
    <w:rsid w:val="00E17261"/>
    <w:rsid w:val="00E437DA"/>
    <w:rsid w:val="00E63093"/>
    <w:rsid w:val="00EB00A2"/>
    <w:rsid w:val="00EB1BF3"/>
    <w:rsid w:val="00EF3EEE"/>
    <w:rsid w:val="00F149A7"/>
    <w:rsid w:val="00F35F9D"/>
    <w:rsid w:val="00F50BAF"/>
    <w:rsid w:val="00F52C10"/>
    <w:rsid w:val="00F81FFD"/>
    <w:rsid w:val="00F823B9"/>
    <w:rsid w:val="00F85228"/>
    <w:rsid w:val="00F907F7"/>
    <w:rsid w:val="00FB6773"/>
    <w:rsid w:val="00FE7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1F795-7DE8-4F7E-978B-4555122A9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F823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1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B2FAE4-6D08-4CFB-9BA2-F5662E184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527</Words>
  <Characters>3004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121: Subject not yet available - South Carolina Legislature Online</dc:title>
  <dc:subject/>
  <dc:creator>Stacey Morris</dc:creator>
  <cp:keywords/>
  <dc:description/>
  <cp:lastModifiedBy>S Wilson</cp:lastModifiedBy>
  <cp:revision>2</cp:revision>
  <dcterms:created xsi:type="dcterms:W3CDTF">2021-01-21T16:55:00Z</dcterms:created>
  <dcterms:modified xsi:type="dcterms:W3CDTF">2021-01-21T16:55:00Z</dcterms:modified>
</cp:coreProperties>
</file>