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CA3DBD">
        <w:rPr>
          <w:rFonts w:cs="Times New Roman"/>
          <w:b/>
        </w:rPr>
        <w:t>South Carolina General Assembly</w:t>
      </w: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CA3DBD">
        <w:rPr>
          <w:rFonts w:cs="Times New Roman"/>
        </w:rPr>
        <w:t>124th Session, 2021-2022</w:t>
      </w: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A3DBD" w:rsidRPr="00CA3DBD" w:rsidRDefault="004F3390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A21, R30, S271</w:t>
      </w: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A3DBD">
        <w:rPr>
          <w:rFonts w:cs="Times New Roman"/>
          <w:b/>
        </w:rPr>
        <w:t>STATUS INFORMATION</w:t>
      </w: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A3DBD">
        <w:rPr>
          <w:rFonts w:cs="Times New Roman"/>
        </w:rPr>
        <w:t>General Bill</w:t>
      </w: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A3DBD">
        <w:rPr>
          <w:rFonts w:cs="Times New Roman"/>
        </w:rPr>
        <w:t>Sponsors: Senators Talley, Turner, Rice, Adams, Verdin, Setzler, M. Johnson, Kimbrell, McElveen, Climer, Garrett and Campsen</w:t>
      </w: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A3DBD">
        <w:rPr>
          <w:rFonts w:cs="Times New Roman"/>
        </w:rPr>
        <w:t>Document Path: l:\s-res\sft\002sc a.kmm.sft.docx</w:t>
      </w: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717472" w:rsidRDefault="00717472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12, 2021</w:t>
      </w:r>
    </w:p>
    <w:p w:rsidR="00717472" w:rsidRDefault="00717472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February 11, 2021</w:t>
      </w:r>
    </w:p>
    <w:p w:rsidR="00717472" w:rsidRDefault="00717472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February 9, 2021</w:t>
      </w:r>
    </w:p>
    <w:p w:rsidR="00717472" w:rsidRDefault="00717472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April 15, 2021</w:t>
      </w:r>
    </w:p>
    <w:p w:rsidR="00717472" w:rsidRDefault="00717472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April 26, 2021, Signed</w:t>
      </w:r>
    </w:p>
    <w:p w:rsidR="00717472" w:rsidRDefault="00717472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A3DBD">
        <w:rPr>
          <w:rFonts w:cs="Times New Roman"/>
        </w:rPr>
        <w:t>Summary: SC Abandoned Buildings Revitalization Act</w:t>
      </w: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A3DBD" w:rsidRPr="00CA3DBD" w:rsidRDefault="00CA3DBD" w:rsidP="00CA3DB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CA3DBD">
        <w:rPr>
          <w:rFonts w:cs="Times New Roman"/>
          <w:b/>
        </w:rPr>
        <w:t>HISTORY OF LEGISLATIVE ACTIONS</w:t>
      </w:r>
    </w:p>
    <w:p w:rsidR="00CA3DBD" w:rsidRPr="00CA3DBD" w:rsidRDefault="00CA3DBD" w:rsidP="00CA3DB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CA3DBD" w:rsidRPr="00CA3DBD" w:rsidRDefault="00CA3DBD" w:rsidP="00CA3DB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CA3DBD">
        <w:rPr>
          <w:rFonts w:cs="Times New Roman"/>
          <w:u w:val="single"/>
        </w:rPr>
        <w:tab/>
        <w:t>Date</w:t>
      </w:r>
      <w:r w:rsidRPr="00CA3DBD">
        <w:rPr>
          <w:rFonts w:cs="Times New Roman"/>
          <w:u w:val="single"/>
        </w:rPr>
        <w:tab/>
        <w:t>Body</w:t>
      </w:r>
      <w:r w:rsidRPr="00CA3DBD">
        <w:rPr>
          <w:rFonts w:cs="Times New Roman"/>
          <w:u w:val="single"/>
        </w:rPr>
        <w:tab/>
        <w:t>Action Description with journal page number</w:t>
      </w:r>
      <w:r w:rsidRPr="00CA3DBD">
        <w:rPr>
          <w:rFonts w:cs="Times New Roman"/>
          <w:u w:val="single"/>
        </w:rPr>
        <w:tab/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12/9/2020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Prefiled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12/9/2020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C71956">
        <w:rPr>
          <w:rFonts w:cs="Times New Roman"/>
          <w:b/>
        </w:rPr>
        <w:t>Finance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6" w:history="1">
        <w:r w:rsidRPr="00C71956">
          <w:rPr>
            <w:rStyle w:val="Hyperlink"/>
            <w:rFonts w:cs="Times New Roman"/>
          </w:rPr>
          <w:t>Senate Journal</w:t>
        </w:r>
        <w:r w:rsidRPr="00C71956">
          <w:rPr>
            <w:rStyle w:val="Hyperlink"/>
            <w:rFonts w:cs="Times New Roman"/>
          </w:rPr>
          <w:noBreakHyphen/>
          <w:t>page 243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C7195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7" w:history="1">
        <w:r w:rsidRPr="00C71956">
          <w:rPr>
            <w:rStyle w:val="Hyperlink"/>
            <w:rFonts w:cs="Times New Roman"/>
          </w:rPr>
          <w:t>Senate Journal</w:t>
        </w:r>
        <w:r w:rsidRPr="00C71956">
          <w:rPr>
            <w:rStyle w:val="Hyperlink"/>
            <w:rFonts w:cs="Times New Roman"/>
          </w:rPr>
          <w:noBreakHyphen/>
          <w:t>page 243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2/3/2021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C71956">
        <w:rPr>
          <w:rFonts w:cs="Times New Roman"/>
          <w:b/>
        </w:rPr>
        <w:t>Finance</w:t>
      </w:r>
      <w:r>
        <w:rPr>
          <w:rFonts w:cs="Times New Roman"/>
        </w:rPr>
        <w:t xml:space="preserve"> (</w:t>
      </w:r>
      <w:hyperlink r:id="rId8" w:history="1">
        <w:r w:rsidRPr="00C71956">
          <w:rPr>
            <w:rStyle w:val="Hyperlink"/>
            <w:rFonts w:cs="Times New Roman"/>
          </w:rPr>
          <w:t>Senate Journal</w:t>
        </w:r>
        <w:r w:rsidRPr="00C71956">
          <w:rPr>
            <w:rStyle w:val="Hyperlink"/>
            <w:rFonts w:cs="Times New Roman"/>
          </w:rPr>
          <w:noBreakHyphen/>
          <w:t>page 42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9" w:history="1">
        <w:r w:rsidRPr="00C71956">
          <w:rPr>
            <w:rStyle w:val="Hyperlink"/>
            <w:rFonts w:cs="Times New Roman"/>
          </w:rPr>
          <w:t>Senate Journal</w:t>
        </w:r>
        <w:r w:rsidRPr="00C71956">
          <w:rPr>
            <w:rStyle w:val="Hyperlink"/>
            <w:rFonts w:cs="Times New Roman"/>
          </w:rPr>
          <w:noBreakHyphen/>
          <w:t>page 33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0" w:history="1">
        <w:r w:rsidRPr="00C71956">
          <w:rPr>
            <w:rStyle w:val="Hyperlink"/>
            <w:rFonts w:cs="Times New Roman"/>
          </w:rPr>
          <w:t>Senate Journal</w:t>
        </w:r>
        <w:r w:rsidRPr="00C71956">
          <w:rPr>
            <w:rStyle w:val="Hyperlink"/>
            <w:rFonts w:cs="Times New Roman"/>
          </w:rPr>
          <w:noBreakHyphen/>
          <w:t>page 33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42  Nays</w:t>
      </w:r>
      <w:r>
        <w:rPr>
          <w:rFonts w:cs="Times New Roman"/>
        </w:rPr>
        <w:noBreakHyphen/>
        <w:t>1 (</w:t>
      </w:r>
      <w:hyperlink r:id="rId11" w:history="1">
        <w:r w:rsidRPr="00C71956">
          <w:rPr>
            <w:rStyle w:val="Hyperlink"/>
            <w:rFonts w:cs="Times New Roman"/>
          </w:rPr>
          <w:t>Senate Journal</w:t>
        </w:r>
        <w:r w:rsidRPr="00C71956">
          <w:rPr>
            <w:rStyle w:val="Hyperlink"/>
            <w:rFonts w:cs="Times New Roman"/>
          </w:rPr>
          <w:noBreakHyphen/>
          <w:t>page 33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2/10/2021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sent to House (</w:t>
      </w:r>
      <w:hyperlink r:id="rId12" w:history="1">
        <w:r w:rsidRPr="00C71956">
          <w:rPr>
            <w:rStyle w:val="Hyperlink"/>
            <w:rFonts w:cs="Times New Roman"/>
          </w:rPr>
          <w:t>Senate Journal</w:t>
        </w:r>
        <w:r w:rsidRPr="00C71956">
          <w:rPr>
            <w:rStyle w:val="Hyperlink"/>
            <w:rFonts w:cs="Times New Roman"/>
          </w:rPr>
          <w:noBreakHyphen/>
          <w:t>page 8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13" w:history="1">
        <w:r w:rsidRPr="00C71956">
          <w:rPr>
            <w:rStyle w:val="Hyperlink"/>
            <w:rFonts w:cs="Times New Roman"/>
          </w:rPr>
          <w:t>House Journal</w:t>
        </w:r>
        <w:r w:rsidRPr="00C71956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2/11/2021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C71956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14" w:history="1">
        <w:r w:rsidRPr="00C71956">
          <w:rPr>
            <w:rStyle w:val="Hyperlink"/>
            <w:rFonts w:cs="Times New Roman"/>
          </w:rPr>
          <w:t>House Journal</w:t>
        </w:r>
        <w:r w:rsidRPr="00C71956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</w:t>
      </w:r>
      <w:r w:rsidRPr="00C71956">
        <w:rPr>
          <w:rFonts w:cs="Times New Roman"/>
          <w:b/>
        </w:rPr>
        <w:t>Ways and Means</w:t>
      </w:r>
      <w:r>
        <w:rPr>
          <w:rFonts w:cs="Times New Roman"/>
        </w:rPr>
        <w:t xml:space="preserve"> (</w:t>
      </w:r>
      <w:hyperlink r:id="rId15" w:history="1">
        <w:r w:rsidRPr="00C71956">
          <w:rPr>
            <w:rStyle w:val="Hyperlink"/>
            <w:rFonts w:cs="Times New Roman"/>
          </w:rPr>
          <w:t>House Journal</w:t>
        </w:r>
        <w:r w:rsidRPr="00C71956">
          <w:rPr>
            <w:rStyle w:val="Hyperlink"/>
            <w:rFonts w:cs="Times New Roman"/>
          </w:rPr>
          <w:noBreakHyphen/>
          <w:t>page 39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3/19/2021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Debate adjourned until  Tues., 4</w:t>
      </w:r>
      <w:r>
        <w:rPr>
          <w:rFonts w:cs="Times New Roman"/>
        </w:rPr>
        <w:noBreakHyphen/>
        <w:t>13</w:t>
      </w:r>
      <w:r>
        <w:rPr>
          <w:rFonts w:cs="Times New Roman"/>
        </w:rPr>
        <w:noBreakHyphen/>
        <w:t>21 (</w:t>
      </w:r>
      <w:hyperlink r:id="rId16" w:history="1">
        <w:r w:rsidRPr="00C71956">
          <w:rPr>
            <w:rStyle w:val="Hyperlink"/>
            <w:rFonts w:cs="Times New Roman"/>
          </w:rPr>
          <w:t>House Journal</w:t>
        </w:r>
        <w:r w:rsidRPr="00C71956">
          <w:rPr>
            <w:rStyle w:val="Hyperlink"/>
            <w:rFonts w:cs="Times New Roman"/>
          </w:rPr>
          <w:noBreakHyphen/>
          <w:t>page 70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Debate adjourned until  Wed., 4</w:t>
      </w:r>
      <w:r>
        <w:rPr>
          <w:rFonts w:cs="Times New Roman"/>
        </w:rPr>
        <w:noBreakHyphen/>
        <w:t>14</w:t>
      </w:r>
      <w:r>
        <w:rPr>
          <w:rFonts w:cs="Times New Roman"/>
        </w:rPr>
        <w:noBreakHyphen/>
        <w:t>21 (</w:t>
      </w:r>
      <w:hyperlink r:id="rId17" w:history="1">
        <w:r w:rsidRPr="00C71956">
          <w:rPr>
            <w:rStyle w:val="Hyperlink"/>
            <w:rFonts w:cs="Times New Roman"/>
          </w:rPr>
          <w:t>House Journal</w:t>
        </w:r>
        <w:r w:rsidRPr="00C71956">
          <w:rPr>
            <w:rStyle w:val="Hyperlink"/>
            <w:rFonts w:cs="Times New Roman"/>
          </w:rPr>
          <w:noBreakHyphen/>
          <w:t>page 17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8" w:history="1">
        <w:r w:rsidRPr="00C71956">
          <w:rPr>
            <w:rStyle w:val="Hyperlink"/>
            <w:rFonts w:cs="Times New Roman"/>
          </w:rPr>
          <w:t>House Journal</w:t>
        </w:r>
        <w:r w:rsidRPr="00C71956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4/14/2021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100  Nays</w:t>
      </w:r>
      <w:r>
        <w:rPr>
          <w:rFonts w:cs="Times New Roman"/>
        </w:rPr>
        <w:noBreakHyphen/>
        <w:t>0 (</w:t>
      </w:r>
      <w:hyperlink r:id="rId19" w:history="1">
        <w:r w:rsidRPr="00C71956">
          <w:rPr>
            <w:rStyle w:val="Hyperlink"/>
            <w:rFonts w:cs="Times New Roman"/>
          </w:rPr>
          <w:t>House Journal</w:t>
        </w:r>
        <w:r w:rsidRPr="00C71956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4/15/2021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enrolled (</w:t>
      </w:r>
      <w:hyperlink r:id="rId20" w:history="1">
        <w:r w:rsidRPr="00C71956">
          <w:rPr>
            <w:rStyle w:val="Hyperlink"/>
            <w:rFonts w:cs="Times New Roman"/>
          </w:rPr>
          <w:t>House Journal</w:t>
        </w:r>
        <w:r w:rsidRPr="00C71956">
          <w:rPr>
            <w:rStyle w:val="Hyperlink"/>
            <w:rFonts w:cs="Times New Roman"/>
          </w:rPr>
          <w:noBreakHyphen/>
          <w:t>page 5</w:t>
        </w:r>
      </w:hyperlink>
      <w:r>
        <w:rPr>
          <w:rFonts w:cs="Times New Roman"/>
        </w:rPr>
        <w:t>)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4/22/2021</w:t>
      </w:r>
      <w:r>
        <w:rPr>
          <w:rFonts w:cs="Times New Roman"/>
        </w:rPr>
        <w:tab/>
      </w:r>
      <w:r>
        <w:rPr>
          <w:rFonts w:cs="Times New Roman"/>
        </w:rPr>
        <w:tab/>
        <w:t>Ratified R  30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4/26/2021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4/28/2021</w:t>
      </w:r>
      <w:r>
        <w:rPr>
          <w:rFonts w:cs="Times New Roman"/>
        </w:rPr>
        <w:tab/>
      </w:r>
      <w:r>
        <w:rPr>
          <w:rFonts w:cs="Times New Roman"/>
        </w:rPr>
        <w:tab/>
        <w:t>Effective date  04/26/21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4/28/2021</w:t>
      </w:r>
      <w:r>
        <w:rPr>
          <w:rFonts w:cs="Times New Roman"/>
        </w:rPr>
        <w:tab/>
      </w:r>
      <w:r>
        <w:rPr>
          <w:rFonts w:cs="Times New Roman"/>
        </w:rPr>
        <w:tab/>
        <w:t>Act No.  21</w:t>
      </w:r>
    </w:p>
    <w:p w:rsidR="004F3390" w:rsidRDefault="004F3390" w:rsidP="004F339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A3DBD" w:rsidRPr="00CA3DBD" w:rsidRDefault="00CA3DBD" w:rsidP="00CA3DB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CA3DBD">
        <w:rPr>
          <w:rFonts w:cs="Times New Roman"/>
        </w:rPr>
        <w:t xml:space="preserve">View the latest </w:t>
      </w:r>
      <w:hyperlink r:id="rId21" w:history="1">
        <w:r w:rsidRPr="00CA3DBD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CA3DBD">
        <w:rPr>
          <w:rFonts w:cs="Times New Roman"/>
        </w:rPr>
        <w:t xml:space="preserve"> at the website</w:t>
      </w:r>
    </w:p>
    <w:p w:rsidR="00CA3DBD" w:rsidRPr="00CA3DBD" w:rsidRDefault="00CA3DBD" w:rsidP="00CA3DB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A3DBD" w:rsidRPr="00CA3DBD" w:rsidRDefault="00CA3DBD" w:rsidP="00CA3DB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CA3DBD">
        <w:rPr>
          <w:rFonts w:cs="Times New Roman"/>
          <w:b/>
        </w:rPr>
        <w:t>VERSIONS OF THIS BILL</w:t>
      </w:r>
    </w:p>
    <w:p w:rsidR="00CA3DBD" w:rsidRPr="00CA3DBD" w:rsidRDefault="00CA3DBD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A3DBD" w:rsidRPr="00CA3DBD" w:rsidRDefault="007313B9" w:rsidP="00CA3D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CA3DBD" w:rsidRPr="00CA3DBD">
          <w:rPr>
            <w:rFonts w:cs="Times New Roman"/>
            <w:color w:val="0000FF" w:themeColor="hyperlink"/>
            <w:u w:val="single"/>
          </w:rPr>
          <w:t>12/9/2020</w:t>
        </w:r>
      </w:hyperlink>
    </w:p>
    <w:p w:rsidR="00CA3DBD" w:rsidRPr="00CA3DBD" w:rsidRDefault="007313B9" w:rsidP="00CA3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CA3DBD" w:rsidRPr="00CA3DBD">
          <w:rPr>
            <w:rFonts w:cs="Times New Roman"/>
            <w:color w:val="0000FF" w:themeColor="hyperlink"/>
            <w:u w:val="single"/>
          </w:rPr>
          <w:t>2/3/2021</w:t>
        </w:r>
      </w:hyperlink>
    </w:p>
    <w:p w:rsidR="00CA3DBD" w:rsidRPr="00CA3DBD" w:rsidRDefault="007313B9" w:rsidP="00CA3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CA3DBD" w:rsidRPr="00CA3DBD">
          <w:rPr>
            <w:rFonts w:cs="Times New Roman"/>
            <w:color w:val="0000FF" w:themeColor="hyperlink"/>
            <w:u w:val="single"/>
          </w:rPr>
          <w:t>2/9/2021</w:t>
        </w:r>
      </w:hyperlink>
    </w:p>
    <w:p w:rsidR="00CA3DBD" w:rsidRPr="00CA3DBD" w:rsidRDefault="007313B9" w:rsidP="00CA3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CA3DBD" w:rsidRPr="00CA3DBD">
          <w:rPr>
            <w:rFonts w:cs="Times New Roman"/>
            <w:color w:val="0000FF" w:themeColor="hyperlink"/>
            <w:u w:val="single"/>
          </w:rPr>
          <w:t>2/10/2021</w:t>
        </w:r>
      </w:hyperlink>
    </w:p>
    <w:p w:rsidR="00CA3DBD" w:rsidRPr="00CA3DBD" w:rsidRDefault="007313B9" w:rsidP="00CA3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CA3DBD" w:rsidRPr="00CA3DBD">
          <w:rPr>
            <w:rFonts w:cs="Times New Roman"/>
            <w:color w:val="0000FF" w:themeColor="hyperlink"/>
            <w:u w:val="single"/>
          </w:rPr>
          <w:t>3/18/2021</w:t>
        </w:r>
      </w:hyperlink>
    </w:p>
    <w:p w:rsidR="00CA3DBD" w:rsidRPr="00CA3DBD" w:rsidRDefault="007313B9" w:rsidP="00CA3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7" w:history="1">
        <w:r w:rsidR="00CA3DBD" w:rsidRPr="00CA3DBD">
          <w:rPr>
            <w:rFonts w:cs="Times New Roman"/>
            <w:color w:val="0000FF" w:themeColor="hyperlink"/>
            <w:u w:val="single"/>
          </w:rPr>
          <w:t>3/19/2021</w:t>
        </w:r>
      </w:hyperlink>
    </w:p>
    <w:p w:rsidR="00CA3DBD" w:rsidRPr="00CA3DBD" w:rsidRDefault="00CA3DBD" w:rsidP="00CA3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CA3DBD" w:rsidRDefault="00CA3DBD" w:rsidP="00CA3D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CA3DBD" w:rsidSect="00CA3DB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(A21, R30, S271)</w:t>
      </w:r>
    </w:p>
    <w:p w:rsidR="00AA6ED5" w:rsidRPr="008836A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AA6ED5" w:rsidRPr="00CA3DBD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CA3DBD">
        <w:rPr>
          <w:rFonts w:cs="Times New Roman"/>
          <w:b/>
          <w:color w:val="000000" w:themeColor="text1"/>
          <w:szCs w:val="36"/>
        </w:rPr>
        <w:t xml:space="preserve">AN ACT </w:t>
      </w:r>
      <w:r w:rsidRPr="00CA3DBD">
        <w:rPr>
          <w:rFonts w:cs="Times New Roman"/>
          <w:b/>
          <w:color w:val="000000" w:themeColor="text1"/>
          <w:u w:color="000000" w:themeColor="text1"/>
        </w:rPr>
        <w:t>TO AMEND SECTION 12</w:t>
      </w:r>
      <w:r w:rsidRPr="00CA3DBD">
        <w:rPr>
          <w:rFonts w:cs="Times New Roman"/>
          <w:b/>
          <w:color w:val="000000" w:themeColor="text1"/>
          <w:u w:color="000000" w:themeColor="text1"/>
        </w:rPr>
        <w:noBreakHyphen/>
        <w:t>65</w:t>
      </w:r>
      <w:r w:rsidRPr="00CA3DBD">
        <w:rPr>
          <w:rFonts w:cs="Times New Roman"/>
          <w:b/>
          <w:color w:val="000000" w:themeColor="text1"/>
          <w:u w:color="000000" w:themeColor="text1"/>
        </w:rPr>
        <w:noBreakHyphen/>
        <w:t>20, AS AMENDED, CODE OF LAWS OF SOUTH CAROLINA, 1976, RELATING TO DEFINITIONS OF THE TEXTILE COMMUNITIES REVITALIZATION ACT, SO AS TO INCLUDE CERTAIN PROPERTIES WITHIN THE DEFINITION OF “CONTIGUOUS PARCEL”; AND TO EXTEND THE PROVISIONS OF THE SOUTH CAROLINA ABANDONED BUILDINGS REVITALIZATION ACT, AS CONTAINED IN CHAPTER 67, TITLE 12 OF THE 1976 CODE, UNTIL DECEMBER 31, 2025.</w:t>
      </w:r>
    </w:p>
    <w:p w:rsidR="00AA6ED5" w:rsidRPr="0084513F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84513F">
        <w:rPr>
          <w:rFonts w:eastAsia="Times New Roman" w:cs="Times New Roman"/>
        </w:rPr>
        <w:t>Be it enacted by the General Assembly of the State of South Carolina:</w:t>
      </w:r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A6ED5" w:rsidRPr="009652C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Abandoned Buildings Revitalization Act extension</w:t>
      </w:r>
    </w:p>
    <w:p w:rsidR="00AA6ED5" w:rsidRPr="0084513F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84513F">
        <w:rPr>
          <w:rFonts w:eastAsia="Times New Roman" w:cs="Times New Roman"/>
        </w:rPr>
        <w:t>SECTION</w:t>
      </w:r>
      <w:r w:rsidRPr="0084513F">
        <w:rPr>
          <w:rFonts w:eastAsia="Times New Roman" w:cs="Times New Roman"/>
        </w:rPr>
        <w:tab/>
        <w:t>1.</w:t>
      </w:r>
      <w:r w:rsidRPr="0084513F">
        <w:rPr>
          <w:rFonts w:eastAsia="Times New Roman" w:cs="Times New Roman"/>
        </w:rPr>
        <w:tab/>
        <w:t>Notwithstanding SECTION 1.B. of Act 57 of 2013, the provisions of Chapter 67, Title 12 of the 1976 Code are repealed on December 31, 2025.</w:t>
      </w:r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A6ED5" w:rsidRPr="009652C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Textiles Communities Revitalization Act</w:t>
      </w:r>
    </w:p>
    <w:p w:rsidR="00AA6ED5" w:rsidRPr="0084513F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AA6ED5" w:rsidRPr="0084513F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  <w:u w:color="000000" w:themeColor="text1"/>
        </w:rPr>
      </w:pP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>SECTION</w:t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ab/>
        <w:t>2.</w:t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ab/>
        <w:t>A.</w:t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ab/>
        <w:t>Section 12</w:t>
      </w:r>
      <w:r>
        <w:rPr>
          <w:rFonts w:eastAsia="Times New Roman" w:cs="Times New Roman"/>
          <w:color w:val="000000" w:themeColor="text1"/>
          <w:szCs w:val="20"/>
          <w:u w:color="000000" w:themeColor="text1"/>
        </w:rPr>
        <w:noBreakHyphen/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>65</w:t>
      </w:r>
      <w:r>
        <w:rPr>
          <w:rFonts w:eastAsia="Times New Roman" w:cs="Times New Roman"/>
          <w:color w:val="000000" w:themeColor="text1"/>
          <w:szCs w:val="20"/>
          <w:u w:color="000000" w:themeColor="text1"/>
        </w:rPr>
        <w:noBreakHyphen/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>20(4)(b) of the 1976 Code, as last amended by Act 50 of 2019, is further amended to read:</w:t>
      </w:r>
    </w:p>
    <w:p w:rsidR="00AA6ED5" w:rsidRPr="0084513F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  <w:u w:color="000000" w:themeColor="text1"/>
        </w:rPr>
      </w:pPr>
    </w:p>
    <w:p w:rsidR="00AA6ED5" w:rsidRPr="0084513F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  <w:u w:color="000000" w:themeColor="text1"/>
        </w:rPr>
      </w:pP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ab/>
        <w:t>“(b)</w:t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ab/>
        <w:t xml:space="preserve">Notwithstanding the provisions of item (4)(a), with respect to (i) any site acquired by a taxpayer before January 1, 2008, (ii) a site located on the Catawba River near Interstate 77, or (iii) a site which, on the date the notice of intent to rehabilitate is filed, is located in a distressed area of a county in this State, as designated by the applicable council of government, </w:t>
      </w:r>
      <w:r>
        <w:rPr>
          <w:rFonts w:eastAsia="Times New Roman" w:cs="Times New Roman"/>
          <w:color w:val="000000" w:themeColor="text1"/>
          <w:szCs w:val="20"/>
          <w:u w:color="000000" w:themeColor="text1"/>
        </w:rPr>
        <w:t>‘</w:t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>textile mill site</w:t>
      </w:r>
      <w:r>
        <w:rPr>
          <w:rFonts w:eastAsia="Times New Roman" w:cs="Times New Roman"/>
          <w:color w:val="000000" w:themeColor="text1"/>
          <w:szCs w:val="20"/>
          <w:u w:color="000000" w:themeColor="text1"/>
        </w:rPr>
        <w:t>’</w:t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 xml:space="preserve"> means the textile mill structure, together with all land and improvements which were used directly for textile manufacturing operations or ancillary uses, or were located on the same parcel or a contiguous parcel within one thousand feet of any textile mill structure or ancillary uses. For purposes of this subitem, </w:t>
      </w:r>
      <w:r>
        <w:rPr>
          <w:rFonts w:eastAsia="Times New Roman" w:cs="Times New Roman"/>
          <w:color w:val="000000" w:themeColor="text1"/>
          <w:szCs w:val="20"/>
          <w:u w:color="000000" w:themeColor="text1"/>
        </w:rPr>
        <w:t>‘</w:t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>contiguous parcel</w:t>
      </w:r>
      <w:r>
        <w:rPr>
          <w:rFonts w:eastAsia="Times New Roman" w:cs="Times New Roman"/>
          <w:color w:val="000000" w:themeColor="text1"/>
          <w:szCs w:val="20"/>
          <w:u w:color="000000" w:themeColor="text1"/>
        </w:rPr>
        <w:t>’</w:t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 xml:space="preserve"> means any separate tax parcel sharing a common boundary with an adjacent parcel or separated only by private or public roads and railroad rights of way.”</w:t>
      </w:r>
    </w:p>
    <w:p w:rsidR="00AA6ED5" w:rsidRPr="0084513F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  <w:u w:color="000000" w:themeColor="text1"/>
        </w:rPr>
      </w:pPr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  <w:u w:color="000000" w:themeColor="text1"/>
        </w:rPr>
      </w:pP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>B.</w:t>
      </w:r>
      <w:r w:rsidRPr="0084513F">
        <w:rPr>
          <w:rFonts w:eastAsia="Times New Roman" w:cs="Times New Roman"/>
          <w:color w:val="000000" w:themeColor="text1"/>
          <w:szCs w:val="20"/>
          <w:u w:color="000000" w:themeColor="text1"/>
        </w:rPr>
        <w:tab/>
        <w:t xml:space="preserve"> This SECTION takes effect upon approval by the Governor and first applies to tax years beginning after 2020.</w:t>
      </w:r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  <w:u w:color="000000" w:themeColor="text1"/>
        </w:rPr>
      </w:pPr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color w:val="000000" w:themeColor="text1"/>
          <w:szCs w:val="20"/>
          <w:u w:color="000000" w:themeColor="text1"/>
        </w:rPr>
      </w:pPr>
      <w:r>
        <w:rPr>
          <w:rFonts w:eastAsia="Times New Roman" w:cs="Times New Roman"/>
          <w:b/>
          <w:color w:val="000000" w:themeColor="text1"/>
          <w:szCs w:val="20"/>
          <w:u w:color="000000" w:themeColor="text1"/>
        </w:rPr>
        <w:t>Time effective</w:t>
      </w:r>
    </w:p>
    <w:p w:rsidR="00AA6ED5" w:rsidRPr="009652C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A6ED5" w:rsidRPr="0084513F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4513F">
        <w:rPr>
          <w:rFonts w:eastAsia="Times New Roman" w:cs="Times New Roman"/>
        </w:rPr>
        <w:t>SECTION</w:t>
      </w:r>
      <w:r w:rsidRPr="0084513F">
        <w:rPr>
          <w:rFonts w:eastAsia="Times New Roman" w:cs="Times New Roman"/>
        </w:rPr>
        <w:tab/>
        <w:t>3.</w:t>
      </w:r>
      <w:r w:rsidRPr="0084513F">
        <w:rPr>
          <w:rFonts w:eastAsia="Times New Roman" w:cs="Times New Roman"/>
        </w:rPr>
        <w:tab/>
        <w:t>This act takes effect upon approval by the Governor.</w:t>
      </w:r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AA6ED5" w:rsidRDefault="00AA6ED5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22</w:t>
      </w:r>
      <w:r>
        <w:rPr>
          <w:color w:val="000000" w:themeColor="text1"/>
          <w:vertAlign w:val="superscript"/>
        </w:rPr>
        <w:t>nd</w:t>
      </w:r>
      <w:r>
        <w:rPr>
          <w:color w:val="000000" w:themeColor="text1"/>
        </w:rPr>
        <w:t xml:space="preserve"> day of April, 2021.</w:t>
      </w:r>
    </w:p>
    <w:p w:rsidR="00AA6ED5" w:rsidRDefault="00AA6ED5" w:rsidP="00AA6ED5">
      <w:pPr>
        <w:jc w:val="both"/>
        <w:rPr>
          <w:color w:val="000000" w:themeColor="text1"/>
        </w:rPr>
      </w:pPr>
    </w:p>
    <w:p w:rsidR="00AA6ED5" w:rsidRDefault="00AA6ED5" w:rsidP="00AA6ED5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26</w:t>
      </w:r>
      <w:r w:rsidRPr="00DF1E3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2021. </w:t>
      </w:r>
    </w:p>
    <w:p w:rsidR="00AA6ED5" w:rsidRDefault="00AA6ED5" w:rsidP="00AA6ED5">
      <w:pPr>
        <w:jc w:val="center"/>
        <w:rPr>
          <w:color w:val="000000" w:themeColor="text1"/>
        </w:rPr>
      </w:pPr>
    </w:p>
    <w:p w:rsidR="00AA6ED5" w:rsidRDefault="00AA6ED5" w:rsidP="00AA6ED5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CA3DBD" w:rsidRPr="00F37AC0" w:rsidRDefault="00CA3DBD" w:rsidP="00AA6ED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CA3DBD" w:rsidRPr="00F37AC0" w:rsidSect="00CA3DBD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29BA" w:rsidRDefault="007729BA" w:rsidP="007D5FAC">
      <w:r>
        <w:separator/>
      </w:r>
    </w:p>
  </w:endnote>
  <w:endnote w:type="continuationSeparator" w:id="0">
    <w:p w:rsidR="007729BA" w:rsidRDefault="007729B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BD" w:rsidRPr="00CA3DBD" w:rsidRDefault="00CA3DBD" w:rsidP="00CA3DB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A6ED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3DBD" w:rsidRDefault="00CA3D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29BA" w:rsidRDefault="007729BA" w:rsidP="007D5FAC">
      <w:r>
        <w:separator/>
      </w:r>
    </w:p>
  </w:footnote>
  <w:footnote w:type="continuationSeparator" w:id="0">
    <w:p w:rsidR="007729BA" w:rsidRDefault="007729B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Good"/>
    <w:docVar w:name="ActBillNo" w:val="271"/>
    <w:docVar w:name="ActSecretary" w:val="Downey"/>
    <w:docVar w:name="ActSIdno" w:val="(30)  271DG21"/>
    <w:docVar w:name="clipname" w:val="271DG21"/>
    <w:docVar w:name="dvBillNumber" w:val="271"/>
    <w:docVar w:name="dvBillNumberPrefix" w:val="S"/>
    <w:docVar w:name="dvOriginalBody" w:val="Senate"/>
    <w:docVar w:name="OrigSENATEBillNo" w:val="271"/>
    <w:docVar w:name="SENATEACTFULLPATH" w:val="L:\COUNCIL\ACTS\271DG21.DOCX"/>
    <w:docVar w:name="WhatActtype" w:val="AN ACT"/>
  </w:docVars>
  <w:rsids>
    <w:rsidRoot w:val="007729BA"/>
    <w:rsid w:val="00002DE0"/>
    <w:rsid w:val="00017F29"/>
    <w:rsid w:val="00020349"/>
    <w:rsid w:val="00021B0B"/>
    <w:rsid w:val="00030487"/>
    <w:rsid w:val="00040C05"/>
    <w:rsid w:val="0004579B"/>
    <w:rsid w:val="00051B4F"/>
    <w:rsid w:val="00055653"/>
    <w:rsid w:val="00064DEF"/>
    <w:rsid w:val="000673E4"/>
    <w:rsid w:val="0007088D"/>
    <w:rsid w:val="000731E9"/>
    <w:rsid w:val="00074565"/>
    <w:rsid w:val="00076A1A"/>
    <w:rsid w:val="00077DA3"/>
    <w:rsid w:val="00081300"/>
    <w:rsid w:val="0008580A"/>
    <w:rsid w:val="00085C37"/>
    <w:rsid w:val="00086E11"/>
    <w:rsid w:val="00092EE6"/>
    <w:rsid w:val="00096A9B"/>
    <w:rsid w:val="00096BDA"/>
    <w:rsid w:val="000A11B9"/>
    <w:rsid w:val="000A6151"/>
    <w:rsid w:val="000A6BCA"/>
    <w:rsid w:val="000B03AD"/>
    <w:rsid w:val="000B316D"/>
    <w:rsid w:val="000B36EE"/>
    <w:rsid w:val="000B3728"/>
    <w:rsid w:val="000B56CB"/>
    <w:rsid w:val="000D356E"/>
    <w:rsid w:val="000D6F51"/>
    <w:rsid w:val="000E6770"/>
    <w:rsid w:val="000F0C3D"/>
    <w:rsid w:val="000F4902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4FF6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0805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27D8E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191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D6F81"/>
    <w:rsid w:val="004E275E"/>
    <w:rsid w:val="004E6C25"/>
    <w:rsid w:val="004E747B"/>
    <w:rsid w:val="004E7E53"/>
    <w:rsid w:val="004F0258"/>
    <w:rsid w:val="004F0E6F"/>
    <w:rsid w:val="004F3390"/>
    <w:rsid w:val="004F4494"/>
    <w:rsid w:val="004F4608"/>
    <w:rsid w:val="004F5867"/>
    <w:rsid w:val="004F6446"/>
    <w:rsid w:val="005065EC"/>
    <w:rsid w:val="005208D0"/>
    <w:rsid w:val="00522B8D"/>
    <w:rsid w:val="00523926"/>
    <w:rsid w:val="00530D7F"/>
    <w:rsid w:val="00531A4F"/>
    <w:rsid w:val="005325C5"/>
    <w:rsid w:val="0053326B"/>
    <w:rsid w:val="005342FC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23B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0775A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193C"/>
    <w:rsid w:val="00704FF9"/>
    <w:rsid w:val="007052EC"/>
    <w:rsid w:val="00707063"/>
    <w:rsid w:val="007127A6"/>
    <w:rsid w:val="00717472"/>
    <w:rsid w:val="007257FC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29BA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0436"/>
    <w:rsid w:val="007E2084"/>
    <w:rsid w:val="007E3A81"/>
    <w:rsid w:val="007F3574"/>
    <w:rsid w:val="007F6631"/>
    <w:rsid w:val="007F6D46"/>
    <w:rsid w:val="007F7184"/>
    <w:rsid w:val="00800AD0"/>
    <w:rsid w:val="00801009"/>
    <w:rsid w:val="00804053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3C50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52C5"/>
    <w:rsid w:val="009670BA"/>
    <w:rsid w:val="00971351"/>
    <w:rsid w:val="0097332E"/>
    <w:rsid w:val="00973337"/>
    <w:rsid w:val="00974FD7"/>
    <w:rsid w:val="00980444"/>
    <w:rsid w:val="00982E93"/>
    <w:rsid w:val="00990677"/>
    <w:rsid w:val="00997D30"/>
    <w:rsid w:val="009A1A29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110"/>
    <w:rsid w:val="00A25E64"/>
    <w:rsid w:val="00A26387"/>
    <w:rsid w:val="00A3022E"/>
    <w:rsid w:val="00A32D2E"/>
    <w:rsid w:val="00A37F24"/>
    <w:rsid w:val="00A450A2"/>
    <w:rsid w:val="00A46627"/>
    <w:rsid w:val="00A47168"/>
    <w:rsid w:val="00A475E8"/>
    <w:rsid w:val="00A512E6"/>
    <w:rsid w:val="00A61397"/>
    <w:rsid w:val="00A62F8F"/>
    <w:rsid w:val="00A64E80"/>
    <w:rsid w:val="00A73974"/>
    <w:rsid w:val="00A74007"/>
    <w:rsid w:val="00A94134"/>
    <w:rsid w:val="00A96A62"/>
    <w:rsid w:val="00A9741D"/>
    <w:rsid w:val="00A9744F"/>
    <w:rsid w:val="00AA3A5F"/>
    <w:rsid w:val="00AA3FFC"/>
    <w:rsid w:val="00AA464A"/>
    <w:rsid w:val="00AA4D72"/>
    <w:rsid w:val="00AA64F5"/>
    <w:rsid w:val="00AA6ED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0A34"/>
    <w:rsid w:val="00B83DA1"/>
    <w:rsid w:val="00B846E9"/>
    <w:rsid w:val="00B92F6D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1981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35314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3DBD"/>
    <w:rsid w:val="00CA4CD7"/>
    <w:rsid w:val="00CB12FE"/>
    <w:rsid w:val="00CC2825"/>
    <w:rsid w:val="00CD4F4C"/>
    <w:rsid w:val="00CE1407"/>
    <w:rsid w:val="00CE54EA"/>
    <w:rsid w:val="00CE5B85"/>
    <w:rsid w:val="00CF77F4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4C1"/>
    <w:rsid w:val="00D24F96"/>
    <w:rsid w:val="00D25595"/>
    <w:rsid w:val="00D30850"/>
    <w:rsid w:val="00D31442"/>
    <w:rsid w:val="00D32F6B"/>
    <w:rsid w:val="00D3443A"/>
    <w:rsid w:val="00D366FE"/>
    <w:rsid w:val="00D36CF8"/>
    <w:rsid w:val="00D375C1"/>
    <w:rsid w:val="00D461BE"/>
    <w:rsid w:val="00D474CA"/>
    <w:rsid w:val="00D50FB9"/>
    <w:rsid w:val="00D522A0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9786B"/>
    <w:rsid w:val="00DA1730"/>
    <w:rsid w:val="00DA77C1"/>
    <w:rsid w:val="00DB01BE"/>
    <w:rsid w:val="00DB1297"/>
    <w:rsid w:val="00DC093F"/>
    <w:rsid w:val="00DC6CFE"/>
    <w:rsid w:val="00DC7BA4"/>
    <w:rsid w:val="00DD198F"/>
    <w:rsid w:val="00DD2595"/>
    <w:rsid w:val="00DD314B"/>
    <w:rsid w:val="00DD3B8D"/>
    <w:rsid w:val="00DD5167"/>
    <w:rsid w:val="00DD557D"/>
    <w:rsid w:val="00DE2D21"/>
    <w:rsid w:val="00DE4F89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100"/>
    <w:rsid w:val="00EA2A3A"/>
    <w:rsid w:val="00EA77B0"/>
    <w:rsid w:val="00EB223A"/>
    <w:rsid w:val="00EC47CE"/>
    <w:rsid w:val="00EC6AE8"/>
    <w:rsid w:val="00ED4871"/>
    <w:rsid w:val="00EE42B4"/>
    <w:rsid w:val="00EE663F"/>
    <w:rsid w:val="00EF0E4A"/>
    <w:rsid w:val="00EF3301"/>
    <w:rsid w:val="00EF6923"/>
    <w:rsid w:val="00F035BD"/>
    <w:rsid w:val="00F05839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37AC0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49A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66BCAA70-76E2-4C35-81BB-8F40BAB6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CA3DB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F7249A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CA3D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522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210203.docx" TargetMode="External"/><Relationship Id="rId13" Type="http://schemas.openxmlformats.org/officeDocument/2006/relationships/hyperlink" Target="file:///h:\hj\20210211.docx" TargetMode="External"/><Relationship Id="rId18" Type="http://schemas.openxmlformats.org/officeDocument/2006/relationships/hyperlink" Target="file:///h:\hj\20210414.docx" TargetMode="External"/><Relationship Id="rId26" Type="http://schemas.openxmlformats.org/officeDocument/2006/relationships/hyperlink" Target="file:///p:\pprever\2021-22\271_20210318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scstatehouse.gov/billsearch.php?billnumbers=271&amp;session=124&amp;summary=B" TargetMode="External"/><Relationship Id="rId7" Type="http://schemas.openxmlformats.org/officeDocument/2006/relationships/hyperlink" Target="file:///h:\sj\20210112.docx" TargetMode="External"/><Relationship Id="rId12" Type="http://schemas.openxmlformats.org/officeDocument/2006/relationships/hyperlink" Target="file:///h:\sj\20210210.docx" TargetMode="External"/><Relationship Id="rId17" Type="http://schemas.openxmlformats.org/officeDocument/2006/relationships/hyperlink" Target="file:///h:\hj\20210413.docx" TargetMode="External"/><Relationship Id="rId25" Type="http://schemas.openxmlformats.org/officeDocument/2006/relationships/hyperlink" Target="file:///p:\pprever\2021-22\271_20210210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\20210406.docx" TargetMode="External"/><Relationship Id="rId20" Type="http://schemas.openxmlformats.org/officeDocument/2006/relationships/hyperlink" Target="file:///h:\hj\20210415.docx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h:\sj\20210112.docx" TargetMode="External"/><Relationship Id="rId11" Type="http://schemas.openxmlformats.org/officeDocument/2006/relationships/hyperlink" Target="file:///h:\sj\20210209.docx" TargetMode="External"/><Relationship Id="rId24" Type="http://schemas.openxmlformats.org/officeDocument/2006/relationships/hyperlink" Target="file:///p:\pprever\2021-22\271_2021020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210318.docx" TargetMode="External"/><Relationship Id="rId23" Type="http://schemas.openxmlformats.org/officeDocument/2006/relationships/hyperlink" Target="file:///p:\pprever\2021-22\271_20210203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sj\20210209.docx" TargetMode="External"/><Relationship Id="rId19" Type="http://schemas.openxmlformats.org/officeDocument/2006/relationships/hyperlink" Target="file:///h:\hj\20210414.docx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sj\20210209.docx" TargetMode="External"/><Relationship Id="rId14" Type="http://schemas.openxmlformats.org/officeDocument/2006/relationships/hyperlink" Target="file:///h:\hj\20210211.docx" TargetMode="External"/><Relationship Id="rId22" Type="http://schemas.openxmlformats.org/officeDocument/2006/relationships/hyperlink" Target="file:///p:\pprever\2021-22\271_20201209.docx" TargetMode="External"/><Relationship Id="rId27" Type="http://schemas.openxmlformats.org/officeDocument/2006/relationships/hyperlink" Target="file:///p:\pprever\2021-22\271_20210319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823</Words>
  <Characters>4553</Characters>
  <Application>Microsoft Office Word</Application>
  <DocSecurity>0</DocSecurity>
  <Lines>455</Lines>
  <Paragraphs>233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 Bill 271: SC Abandoned Buildings Revitalization Act - South Carolina Legislature Online</dc:title>
  <dc:subject/>
  <dc:creator>Niki Downey</dc:creator>
  <cp:keywords/>
  <dc:description/>
  <cp:lastModifiedBy>Danny Crook</cp:lastModifiedBy>
  <cp:revision>2</cp:revision>
  <cp:lastPrinted>2021-04-15T15:27:00Z</cp:lastPrinted>
  <dcterms:created xsi:type="dcterms:W3CDTF">2021-05-03T19:32:00Z</dcterms:created>
  <dcterms:modified xsi:type="dcterms:W3CDTF">2021-05-03T19:32:00Z</dcterms:modified>
</cp:coreProperties>
</file>