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b/>
          <w:szCs w:val="20"/>
        </w:rPr>
        <w:t>South Carolina General Assembly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</w:rPr>
        <w:t>124th Session, 2021-2022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2FB1" w:rsidRPr="00DE2FB1" w:rsidRDefault="00C629E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A64, R80, H3011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b/>
          <w:szCs w:val="20"/>
        </w:rPr>
        <w:t>STATUS INFORMATION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</w:rPr>
        <w:t>General Bill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</w:rPr>
        <w:t>Sponsors: Reps. West, G.M. Smith, Simrill, B. Newton, Wooten, McGarry, Bryant, Haddon, Long, Pope, Gilliam, Hosey, Oremus, Caskey, Hardee, Yow, Atkinson and Martin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</w:rPr>
        <w:t>Document Path: l:\council\bills\gt\5854cm21.docx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61AD7" w:rsidRDefault="00761AD7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2021</w:t>
      </w:r>
    </w:p>
    <w:p w:rsidR="00761AD7" w:rsidRDefault="00761AD7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9, 2021</w:t>
      </w:r>
    </w:p>
    <w:p w:rsidR="00761AD7" w:rsidRDefault="00761AD7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12, 2021</w:t>
      </w:r>
    </w:p>
    <w:p w:rsidR="00761AD7" w:rsidRDefault="00761AD7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12, 2021</w:t>
      </w:r>
    </w:p>
    <w:p w:rsidR="00761AD7" w:rsidRDefault="00761AD7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17, 2021, Signed</w:t>
      </w:r>
    </w:p>
    <w:p w:rsidR="00761AD7" w:rsidRDefault="00761AD7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</w:rPr>
        <w:t>Summary: Driving on the right half of road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b/>
          <w:szCs w:val="20"/>
        </w:rPr>
        <w:t>HISTORY OF LEGISLATIVE ACTIONS</w:t>
      </w:r>
    </w:p>
    <w:p w:rsidR="00DE2FB1" w:rsidRPr="00DE2FB1" w:rsidRDefault="00DE2FB1" w:rsidP="00DE2FB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  <w:u w:val="single"/>
        </w:rPr>
        <w:tab/>
        <w:t>Date</w:t>
      </w:r>
      <w:r w:rsidRPr="00DE2FB1">
        <w:rPr>
          <w:rFonts w:eastAsia="Times New Roman" w:cs="Times New Roman"/>
          <w:szCs w:val="20"/>
          <w:u w:val="single"/>
        </w:rPr>
        <w:tab/>
        <w:t>Body</w:t>
      </w:r>
      <w:r w:rsidRPr="00DE2FB1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E2FB1">
        <w:rPr>
          <w:rFonts w:eastAsia="Times New Roman" w:cs="Times New Roman"/>
          <w:szCs w:val="20"/>
          <w:u w:val="single"/>
        </w:rPr>
        <w:tab/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Prefiled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964DED">
        <w:rPr>
          <w:rFonts w:cs="Times New Roman"/>
          <w:b/>
        </w:rPr>
        <w:t>Education and Public Works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36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964DED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8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36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Caskey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Hardee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Yow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Atkinson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964DED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9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2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Martin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0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1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108  Nays</w:t>
      </w:r>
      <w:r>
        <w:rPr>
          <w:rFonts w:cs="Times New Roman"/>
        </w:rPr>
        <w:noBreakHyphen/>
        <w:t>0 (</w:t>
      </w:r>
      <w:hyperlink r:id="rId12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Unanimous consent for third reading on next legislative day (</w:t>
      </w:r>
      <w:hyperlink r:id="rId13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17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4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1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5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964DED">
        <w:rPr>
          <w:rFonts w:cs="Times New Roman"/>
          <w:b/>
        </w:rPr>
        <w:t>Transportation</w:t>
      </w:r>
      <w:r>
        <w:rPr>
          <w:rFonts w:cs="Times New Roman"/>
        </w:rPr>
        <w:t xml:space="preserve"> (</w:t>
      </w:r>
      <w:hyperlink r:id="rId16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964DED">
        <w:rPr>
          <w:rFonts w:cs="Times New Roman"/>
          <w:b/>
        </w:rPr>
        <w:t>Transportation</w:t>
      </w:r>
      <w:r>
        <w:rPr>
          <w:rFonts w:cs="Times New Roman"/>
        </w:rPr>
        <w:t xml:space="preserve"> (</w:t>
      </w:r>
      <w:hyperlink r:id="rId17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18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9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20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Non</w:t>
      </w:r>
      <w:r>
        <w:rPr>
          <w:rFonts w:cs="Times New Roman"/>
        </w:rPr>
        <w:noBreakHyphen/>
        <w:t>concurrence in Senate amendment (</w:t>
      </w:r>
      <w:hyperlink r:id="rId21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97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  Nays</w:t>
      </w:r>
      <w:r>
        <w:rPr>
          <w:rFonts w:cs="Times New Roman"/>
        </w:rPr>
        <w:noBreakHyphen/>
        <w:t>107 (</w:t>
      </w:r>
      <w:hyperlink r:id="rId22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97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Senate insists upon amendment and conference committee appointed  Bennett, McElveen, Turner (</w:t>
      </w:r>
      <w:hyperlink r:id="rId23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17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Conference committee appointed  Morgan, West, Henderson</w:t>
      </w:r>
      <w:r>
        <w:rPr>
          <w:rFonts w:cs="Times New Roman"/>
        </w:rPr>
        <w:noBreakHyphen/>
        <w:t>Myers (</w:t>
      </w:r>
      <w:hyperlink r:id="rId24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25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Free conference powers granted (</w:t>
      </w:r>
      <w:hyperlink r:id="rId25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54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Free conference committee appointed  Bennett, McElveen, Turner (</w:t>
      </w:r>
      <w:hyperlink r:id="rId26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54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Free conference report received and adopted (</w:t>
      </w:r>
      <w:hyperlink r:id="rId27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54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5/6/2021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44  Nays</w:t>
      </w:r>
      <w:r>
        <w:rPr>
          <w:rFonts w:cs="Times New Roman"/>
        </w:rPr>
        <w:noBreakHyphen/>
        <w:t>1 (</w:t>
      </w:r>
      <w:hyperlink r:id="rId28" w:history="1">
        <w:r w:rsidRPr="00964DED">
          <w:rPr>
            <w:rStyle w:val="Hyperlink"/>
            <w:rFonts w:cs="Times New Roman"/>
          </w:rPr>
          <w:t>Senate Journal</w:t>
        </w:r>
        <w:r w:rsidRPr="00964DED">
          <w:rPr>
            <w:rStyle w:val="Hyperlink"/>
            <w:rFonts w:cs="Times New Roman"/>
          </w:rPr>
          <w:noBreakHyphen/>
          <w:t>page 54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Free conference powers granted (</w:t>
      </w:r>
      <w:hyperlink r:id="rId29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60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109  Nays</w:t>
      </w:r>
      <w:r>
        <w:rPr>
          <w:rFonts w:cs="Times New Roman"/>
        </w:rPr>
        <w:noBreakHyphen/>
        <w:t>0 (</w:t>
      </w:r>
      <w:hyperlink r:id="rId30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60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Free conference committee appointed  Morgan, West, Henderson</w:t>
      </w:r>
      <w:r>
        <w:rPr>
          <w:rFonts w:cs="Times New Roman"/>
        </w:rPr>
        <w:noBreakHyphen/>
        <w:t>Myers (</w:t>
      </w:r>
      <w:hyperlink r:id="rId31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62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Free conference report adopted (</w:t>
      </w:r>
      <w:hyperlink r:id="rId32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62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105  Nays</w:t>
      </w:r>
      <w:r>
        <w:rPr>
          <w:rFonts w:cs="Times New Roman"/>
        </w:rPr>
        <w:noBreakHyphen/>
        <w:t>2 (</w:t>
      </w:r>
      <w:hyperlink r:id="rId33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64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Ordered enrolled for ratification (</w:t>
      </w:r>
      <w:hyperlink r:id="rId34" w:history="1">
        <w:r w:rsidRPr="00964DED">
          <w:rPr>
            <w:rStyle w:val="Hyperlink"/>
            <w:rFonts w:cs="Times New Roman"/>
          </w:rPr>
          <w:t>House Journal</w:t>
        </w:r>
        <w:r w:rsidRPr="00964DED">
          <w:rPr>
            <w:rStyle w:val="Hyperlink"/>
            <w:rFonts w:cs="Times New Roman"/>
          </w:rPr>
          <w:noBreakHyphen/>
          <w:t>page 66</w:t>
        </w:r>
      </w:hyperlink>
      <w:r>
        <w:rPr>
          <w:rFonts w:cs="Times New Roman"/>
        </w:rPr>
        <w:t>)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5/13/2021</w:t>
      </w:r>
      <w:r>
        <w:rPr>
          <w:rFonts w:cs="Times New Roman"/>
        </w:rPr>
        <w:tab/>
      </w:r>
      <w:r>
        <w:rPr>
          <w:rFonts w:cs="Times New Roman"/>
        </w:rPr>
        <w:tab/>
        <w:t>Ratified R  80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08/15/21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6/1/2021</w:t>
      </w:r>
      <w:r>
        <w:rPr>
          <w:rFonts w:cs="Times New Roman"/>
        </w:rPr>
        <w:tab/>
      </w:r>
      <w:r>
        <w:rPr>
          <w:rFonts w:cs="Times New Roman"/>
        </w:rPr>
        <w:tab/>
        <w:t>Act No.  64</w:t>
      </w:r>
    </w:p>
    <w:p w:rsidR="00C629E1" w:rsidRDefault="00C629E1" w:rsidP="00C629E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E2FB1" w:rsidRPr="00DE2FB1" w:rsidRDefault="00DE2FB1" w:rsidP="00DE2F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szCs w:val="20"/>
        </w:rPr>
        <w:t xml:space="preserve">View the latest </w:t>
      </w:r>
      <w:hyperlink r:id="rId35" w:history="1">
        <w:r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DE2FB1">
        <w:rPr>
          <w:rFonts w:eastAsia="Times New Roman" w:cs="Times New Roman"/>
          <w:szCs w:val="20"/>
        </w:rPr>
        <w:t xml:space="preserve"> at the website</w:t>
      </w:r>
    </w:p>
    <w:p w:rsidR="00DE2FB1" w:rsidRPr="00DE2FB1" w:rsidRDefault="00DE2FB1" w:rsidP="00DE2F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E2FB1">
        <w:rPr>
          <w:rFonts w:eastAsia="Times New Roman" w:cs="Times New Roman"/>
          <w:b/>
          <w:szCs w:val="20"/>
        </w:rPr>
        <w:t>VERSIONS OF THIS BILL</w:t>
      </w:r>
    </w:p>
    <w:p w:rsidR="00DE2FB1" w:rsidRPr="00DE2FB1" w:rsidRDefault="00DE2FB1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E2FB1" w:rsidRPr="00DE2FB1" w:rsidRDefault="00655693" w:rsidP="00DE2FB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36" w:history="1">
        <w:r w:rsidR="00DE2FB1"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12/9/2020</w:t>
        </w:r>
      </w:hyperlink>
    </w:p>
    <w:p w:rsidR="00DE2FB1" w:rsidRPr="00DE2FB1" w:rsidRDefault="00655693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7" w:history="1">
        <w:r w:rsidR="00DE2FB1"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3/2/2021</w:t>
        </w:r>
      </w:hyperlink>
    </w:p>
    <w:p w:rsidR="00DE2FB1" w:rsidRPr="00DE2FB1" w:rsidRDefault="00655693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8" w:history="1">
        <w:r w:rsidR="00DE2FB1"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3/4/2021</w:t>
        </w:r>
      </w:hyperlink>
    </w:p>
    <w:p w:rsidR="00DE2FB1" w:rsidRPr="00DE2FB1" w:rsidRDefault="00655693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9" w:history="1">
        <w:r w:rsidR="00DE2FB1"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3/23/2021</w:t>
        </w:r>
      </w:hyperlink>
    </w:p>
    <w:p w:rsidR="00DE2FB1" w:rsidRPr="00DE2FB1" w:rsidRDefault="00655693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0" w:history="1">
        <w:r w:rsidR="00DE2FB1"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3/25/2021</w:t>
        </w:r>
      </w:hyperlink>
    </w:p>
    <w:p w:rsidR="00DE2FB1" w:rsidRPr="00DE2FB1" w:rsidRDefault="00655693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1" w:history="1">
        <w:r w:rsidR="00DE2FB1" w:rsidRPr="00DE2FB1">
          <w:rPr>
            <w:rFonts w:eastAsia="Times New Roman" w:cs="Times New Roman"/>
            <w:color w:val="0000FF" w:themeColor="hyperlink"/>
            <w:szCs w:val="20"/>
            <w:u w:val="single"/>
          </w:rPr>
          <w:t>5/12/2021</w:t>
        </w:r>
      </w:hyperlink>
    </w:p>
    <w:p w:rsidR="00DE2FB1" w:rsidRPr="00DE2FB1" w:rsidRDefault="00DE2FB1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E2FB1" w:rsidRDefault="00DE2FB1" w:rsidP="00DE2FB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E2FB1" w:rsidSect="00DE2FB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(A64, R80, H3011)</w:t>
      </w:r>
    </w:p>
    <w:p w:rsidR="00FA7A1D" w:rsidRPr="008836A5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A7A1D" w:rsidRPr="00DE2FB1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E2FB1">
        <w:rPr>
          <w:rFonts w:cs="Times New Roman"/>
          <w:b/>
          <w:color w:val="000000" w:themeColor="text1"/>
          <w:szCs w:val="36"/>
        </w:rPr>
        <w:t xml:space="preserve">AN ACT </w:t>
      </w:r>
      <w:r w:rsidRPr="00DE2FB1">
        <w:rPr>
          <w:rFonts w:cs="Times New Roman"/>
          <w:b/>
        </w:rPr>
        <w:t>TO AMEND THE CODE OF LAWS OF SOUTH CAROLINA, 1976, BY ADDING SECTION 56</w:t>
      </w:r>
      <w:r w:rsidRPr="00DE2FB1">
        <w:rPr>
          <w:rFonts w:cs="Times New Roman"/>
          <w:b/>
        </w:rPr>
        <w:noBreakHyphen/>
        <w:t>5</w:t>
      </w:r>
      <w:r w:rsidRPr="00DE2FB1">
        <w:rPr>
          <w:rFonts w:cs="Times New Roman"/>
          <w:b/>
        </w:rPr>
        <w:noBreakHyphen/>
        <w:t>1885 SO AS TO PROVIDE THE CIRCUMSTANCES WHEN A VEHICLE MAY NOT BE DRIVEN IN THE FARTHEST LEFT</w:t>
      </w:r>
      <w:r w:rsidRPr="00DE2FB1">
        <w:rPr>
          <w:rFonts w:cs="Times New Roman"/>
          <w:b/>
        </w:rPr>
        <w:noBreakHyphen/>
        <w:t>HAND LANE OF A CONTROLLED ACCESS HIGHWAY, TO PROVIDE THE DEPARTMENT OF TRANSPORTATION MUST PLACE SIGNS ALONG INTERSTATE HIGHWAYS DIRECTING SLOWER TRAFFIC TO MOVE TO THE RIGHT, TO PROVIDE A PENALTY FOR A VIOLATION, TO PROVIDE A VIOLATION MUST NOT BE INCLUDED IN THE OFFENDER’S MOTOR VEHICLE RECORD, INCLUDED IN SLED’S CRIMINAL RECORDS, OR REPORTED TO THE OFFENDER’S MOTOR VEHICLE INSURER, TO PROVIDE A VIOLATION IS NOT NEGLIGENCE PER SE OR CONTRIBUTORY NEGLIGENCE, AND IS NOT ADMISSIBLE AS EVIDENCE IN A CIVIL ACTION, TO PROVIDE A LAW ENFORCEMENT OFFICER MUST NOT SEARCH AND MAY NOT REQUEST CONSENT TO SEARCH A VEHICLE, DRIVER, OR OCCUPANT OF A VEHICLE SOLELY BECAUSE OF A VIOLATION OF THIS PROVISION, AND TO PROVIDE FOR THE APPEAL OF A VIOLATION.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54D72">
        <w:rPr>
          <w:rFonts w:cs="Times New Roman"/>
        </w:rPr>
        <w:t>Be it enacted by the General Assembly of the State of South Carolina:</w:t>
      </w:r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color w:val="000000"/>
          <w:u w:color="000000"/>
        </w:rPr>
      </w:pPr>
      <w:r>
        <w:rPr>
          <w:rFonts w:eastAsia="Calibri" w:cs="Times New Roman"/>
          <w:b/>
          <w:color w:val="000000"/>
          <w:u w:color="000000"/>
        </w:rPr>
        <w:t>Overtaking and passing another vehicle</w:t>
      </w:r>
    </w:p>
    <w:p w:rsidR="00FA7A1D" w:rsidRPr="00B75C08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color w:val="000000"/>
          <w:u w:color="000000"/>
        </w:rPr>
      </w:pP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>SECTION</w:t>
      </w:r>
      <w:r w:rsidRPr="00054D72">
        <w:rPr>
          <w:rFonts w:eastAsia="Calibri" w:cs="Times New Roman"/>
          <w:color w:val="000000"/>
          <w:u w:color="000000"/>
        </w:rPr>
        <w:tab/>
        <w:t>1.</w:t>
      </w:r>
      <w:r w:rsidRPr="00054D72">
        <w:rPr>
          <w:rFonts w:eastAsia="Calibri" w:cs="Times New Roman"/>
          <w:color w:val="000000"/>
          <w:u w:color="000000"/>
        </w:rPr>
        <w:tab/>
        <w:t>Article 13, Chapter 5, Title 56 of the 1976 Code is amended by adding: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  <w:t>“Section 56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5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1885.</w:t>
      </w:r>
      <w:r w:rsidRPr="00054D72">
        <w:rPr>
          <w:rFonts w:eastAsia="Calibri" w:cs="Times New Roman"/>
          <w:color w:val="000000"/>
          <w:u w:color="000000"/>
        </w:rPr>
        <w:tab/>
        <w:t>(A)</w:t>
      </w:r>
      <w:r w:rsidRPr="00054D72">
        <w:rPr>
          <w:rFonts w:eastAsia="Calibri" w:cs="Times New Roman"/>
          <w:color w:val="000000"/>
          <w:u w:color="000000"/>
        </w:rPr>
        <w:tab/>
        <w:t>A vehicle may not be driven in the farthest left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hand lane of a controlled access highway except when overtaking and passing another vehicle.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  <w:t>(B)</w:t>
      </w:r>
      <w:r w:rsidRPr="00054D72">
        <w:rPr>
          <w:rFonts w:eastAsia="Calibri" w:cs="Times New Roman"/>
          <w:color w:val="000000"/>
          <w:u w:color="000000"/>
        </w:rPr>
        <w:tab/>
        <w:t>Subsection (A) of this section does not apply: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(1)</w:t>
      </w:r>
      <w:r w:rsidRPr="00054D72">
        <w:rPr>
          <w:rFonts w:eastAsia="Calibri" w:cs="Times New Roman"/>
          <w:color w:val="000000"/>
          <w:u w:color="000000"/>
        </w:rPr>
        <w:tab/>
        <w:t>when no other vehicle is directly behind the vehicle in the left lane;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(2)</w:t>
      </w:r>
      <w:r w:rsidRPr="00054D72">
        <w:rPr>
          <w:rFonts w:eastAsia="Calibri" w:cs="Times New Roman"/>
          <w:color w:val="000000"/>
          <w:u w:color="000000"/>
        </w:rPr>
        <w:tab/>
        <w:t>when traffic conditions and congestion make it impractical to drive in the right lane;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(3)</w:t>
      </w:r>
      <w:r w:rsidRPr="00054D72">
        <w:rPr>
          <w:rFonts w:eastAsia="Calibri" w:cs="Times New Roman"/>
          <w:color w:val="000000"/>
          <w:u w:color="000000"/>
        </w:rPr>
        <w:tab/>
        <w:t>when snow and other inclement weather conditions make it safer to drive in the left lane;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(4)</w:t>
      </w:r>
      <w:r w:rsidRPr="00054D72">
        <w:rPr>
          <w:rFonts w:eastAsia="Calibri" w:cs="Times New Roman"/>
          <w:color w:val="000000"/>
          <w:u w:color="000000"/>
        </w:rPr>
        <w:tab/>
        <w:t>when obstructions or hazards exist in the right lane;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(5)</w:t>
      </w:r>
      <w:r w:rsidRPr="00054D72">
        <w:rPr>
          <w:rFonts w:eastAsia="Calibri" w:cs="Times New Roman"/>
          <w:color w:val="000000"/>
          <w:u w:color="000000"/>
        </w:rPr>
        <w:tab/>
        <w:t>when, because of highway design, a vehicle must be driven in the left lane when preparing to exit;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lastRenderedPageBreak/>
        <w:tab/>
      </w:r>
      <w:r w:rsidRPr="00054D72">
        <w:rPr>
          <w:rFonts w:eastAsia="Calibri" w:cs="Times New Roman"/>
          <w:color w:val="000000"/>
          <w:u w:color="000000"/>
        </w:rPr>
        <w:tab/>
        <w:t>(6)</w:t>
      </w:r>
      <w:r w:rsidRPr="00054D72">
        <w:rPr>
          <w:rFonts w:eastAsia="Calibri" w:cs="Times New Roman"/>
          <w:color w:val="000000"/>
          <w:u w:color="000000"/>
        </w:rPr>
        <w:tab/>
        <w:t>to law enforcement vehicles, ambulances, or other emergency vehicles engaged in official duties and vehicles engaged in highway maintenance and construction operations;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(7)</w:t>
      </w:r>
      <w:r w:rsidRPr="00054D72">
        <w:rPr>
          <w:rFonts w:eastAsia="Calibri" w:cs="Times New Roman"/>
          <w:color w:val="000000"/>
          <w:u w:color="000000"/>
        </w:rPr>
        <w:tab/>
        <w:t>when a driver of a tractor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trailer commercial motor vehicle combination is unable to move into the right lane safely due to another vehicle overtaking or passing his vehicle to the right; or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(8)</w:t>
      </w:r>
      <w:r w:rsidRPr="00054D72">
        <w:rPr>
          <w:rFonts w:eastAsia="Calibri" w:cs="Times New Roman"/>
          <w:color w:val="000000"/>
          <w:u w:color="000000"/>
        </w:rPr>
        <w:tab/>
        <w:t>when a driver of a vehicle requiring a commercial motor vehicle license to operate is unable to move into the right lane safely due to a highway grade or another vehicle overtaking or passing his vehicle on the right.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  <w:t>(C)</w:t>
      </w:r>
      <w:r w:rsidRPr="00054D72">
        <w:rPr>
          <w:rFonts w:eastAsia="Calibri" w:cs="Times New Roman"/>
          <w:color w:val="000000"/>
          <w:u w:color="000000"/>
        </w:rPr>
        <w:tab/>
        <w:t>Nothing in this section shall limit the Department of Transportation</w:t>
      </w:r>
      <w:r>
        <w:rPr>
          <w:rFonts w:eastAsia="Calibri" w:cs="Times New Roman"/>
          <w:color w:val="000000"/>
          <w:u w:color="000000"/>
        </w:rPr>
        <w:t>’</w:t>
      </w:r>
      <w:r w:rsidRPr="00054D72">
        <w:rPr>
          <w:rFonts w:eastAsia="Calibri" w:cs="Times New Roman"/>
          <w:color w:val="000000"/>
          <w:u w:color="000000"/>
        </w:rPr>
        <w:t>s ability to establish and delineate lane restrictions for certain types of vehicles.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  <w:t>(D)</w:t>
      </w:r>
      <w:r w:rsidRPr="00054D72">
        <w:rPr>
          <w:rFonts w:eastAsia="Calibri" w:cs="Times New Roman"/>
          <w:color w:val="000000"/>
          <w:u w:color="000000"/>
        </w:rPr>
        <w:tab/>
        <w:t>The Department of Transportation must place signs along interstate highways directing slower traffic to move to the right. The signs must be placed at intervals of no more than thirty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five miles.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  <w:t>(E)(1)</w:t>
      </w:r>
      <w:r w:rsidRPr="00054D72">
        <w:rPr>
          <w:rFonts w:eastAsia="Calibri" w:cs="Times New Roman"/>
          <w:color w:val="000000"/>
          <w:u w:color="000000"/>
        </w:rPr>
        <w:tab/>
        <w:t>A person who is adjudicated to be in violation of the provisions of this section must be fined not more than twenty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five dollars, no part of which may be suspended. No court costs, assessments, or surcharges may be assessed against a person who violates a provision of this section. A custodial arrest for a violation of this section must not be made, except upon a warrant issued for a failure to appear in court when summoned or for a failure to pay an imposed fine. A violation of this section does not constitute a criminal offense. Notwithstanding Section 56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1</w:t>
      </w:r>
      <w:r>
        <w:rPr>
          <w:rFonts w:eastAsia="Calibri" w:cs="Times New Roman"/>
          <w:color w:val="000000"/>
          <w:u w:color="000000"/>
        </w:rPr>
        <w:noBreakHyphen/>
      </w:r>
      <w:r w:rsidRPr="00054D72">
        <w:rPr>
          <w:rFonts w:eastAsia="Calibri" w:cs="Times New Roman"/>
          <w:color w:val="000000"/>
          <w:u w:color="000000"/>
        </w:rPr>
        <w:t>640, a violation of this section must not be: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(a)</w:t>
      </w:r>
      <w:r w:rsidRPr="00054D72">
        <w:rPr>
          <w:rFonts w:eastAsia="Calibri" w:cs="Times New Roman"/>
          <w:color w:val="000000"/>
          <w:u w:color="000000"/>
        </w:rPr>
        <w:tab/>
        <w:t>included in the offender</w:t>
      </w:r>
      <w:r>
        <w:rPr>
          <w:rFonts w:eastAsia="Calibri" w:cs="Times New Roman"/>
          <w:color w:val="000000"/>
          <w:u w:color="000000"/>
        </w:rPr>
        <w:t>’</w:t>
      </w:r>
      <w:r w:rsidRPr="00054D72">
        <w:rPr>
          <w:rFonts w:eastAsia="Calibri" w:cs="Times New Roman"/>
          <w:color w:val="000000"/>
          <w:u w:color="000000"/>
        </w:rPr>
        <w:t>s motor vehicle records maintained by the Department of Motor Vehicles;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(b)</w:t>
      </w:r>
      <w:r w:rsidRPr="00054D72">
        <w:rPr>
          <w:rFonts w:eastAsia="Calibri" w:cs="Times New Roman"/>
          <w:color w:val="000000"/>
          <w:u w:color="000000"/>
        </w:rPr>
        <w:tab/>
        <w:t>included in the criminal records maintained by SLED; or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(c)</w:t>
      </w:r>
      <w:r w:rsidRPr="00054D72">
        <w:rPr>
          <w:rFonts w:eastAsia="Calibri" w:cs="Times New Roman"/>
          <w:color w:val="000000"/>
          <w:u w:color="000000"/>
        </w:rPr>
        <w:tab/>
        <w:t>reported to the offender</w:t>
      </w:r>
      <w:r>
        <w:rPr>
          <w:rFonts w:eastAsia="Calibri" w:cs="Times New Roman"/>
          <w:color w:val="000000"/>
          <w:u w:color="000000"/>
        </w:rPr>
        <w:t>’</w:t>
      </w:r>
      <w:r w:rsidRPr="00054D72">
        <w:rPr>
          <w:rFonts w:eastAsia="Calibri" w:cs="Times New Roman"/>
          <w:color w:val="000000"/>
          <w:u w:color="000000"/>
        </w:rPr>
        <w:t>s motor vehicle insurer.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(2)</w:t>
      </w:r>
      <w:r w:rsidRPr="00054D72">
        <w:rPr>
          <w:rFonts w:eastAsia="Calibri" w:cs="Times New Roman"/>
          <w:color w:val="000000"/>
          <w:u w:color="000000"/>
        </w:rPr>
        <w:tab/>
        <w:t>A violation of this section is not negligence per se, or contributory negligence, and is not admissible as evidence in a civil action.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(3)</w:t>
      </w:r>
      <w:r w:rsidRPr="00054D72">
        <w:rPr>
          <w:rFonts w:eastAsia="Calibri" w:cs="Times New Roman"/>
          <w:color w:val="000000"/>
          <w:u w:color="000000"/>
        </w:rPr>
        <w:tab/>
        <w:t>A law enforcement officer must not search, and may not request consent to search, a vehicle, or the driver or occupant of the vehicle, solely because of a violation of this section.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tab/>
      </w:r>
      <w:r w:rsidRPr="00054D72">
        <w:rPr>
          <w:rFonts w:eastAsia="Calibri" w:cs="Times New Roman"/>
          <w:color w:val="000000"/>
          <w:u w:color="000000"/>
        </w:rPr>
        <w:tab/>
        <w:t>(4)</w:t>
      </w:r>
      <w:r w:rsidRPr="00054D72">
        <w:rPr>
          <w:rFonts w:eastAsia="Calibri" w:cs="Times New Roman"/>
          <w:color w:val="000000"/>
          <w:u w:color="000000"/>
        </w:rPr>
        <w:tab/>
        <w:t>A person charged with a violation of this section may admit or deny the violation, enter a plea of nolo contendere, or be tried before either a judge or a jury. If the trier of fact is convinced beyond a reasonable doubt that the person violated the provisions of this section, then the penalty is a civil fine pursuant to item (1) of this subsection. If the trier of fact determines that the State has failed to prove beyond a reasonable doubt that the person violated the provisions of this section, then no penalty shall be assessed.</w:t>
      </w: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/>
          <w:u w:color="000000"/>
        </w:rPr>
      </w:pPr>
      <w:r w:rsidRPr="00054D72">
        <w:rPr>
          <w:rFonts w:eastAsia="Calibri" w:cs="Times New Roman"/>
          <w:color w:val="000000"/>
          <w:u w:color="000000"/>
        </w:rPr>
        <w:lastRenderedPageBreak/>
        <w:tab/>
      </w:r>
      <w:r w:rsidRPr="00054D72">
        <w:rPr>
          <w:rFonts w:eastAsia="Calibri" w:cs="Times New Roman"/>
          <w:color w:val="000000"/>
          <w:u w:color="000000"/>
        </w:rPr>
        <w:tab/>
        <w:t>(5)</w:t>
      </w:r>
      <w:r w:rsidRPr="00054D72">
        <w:rPr>
          <w:rFonts w:eastAsia="Calibri" w:cs="Times New Roman"/>
          <w:color w:val="000000"/>
          <w:u w:color="000000"/>
        </w:rPr>
        <w:tab/>
        <w:t>A person found to be in violation of this section may bring an appeal to the court of common pleas.”</w:t>
      </w:r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color w:val="000000"/>
          <w:u w:color="000000"/>
        </w:rPr>
      </w:pPr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color w:val="000000"/>
          <w:u w:color="000000"/>
        </w:rPr>
      </w:pPr>
      <w:r>
        <w:rPr>
          <w:rFonts w:eastAsia="Calibri" w:cs="Times New Roman"/>
          <w:b/>
          <w:color w:val="000000"/>
          <w:u w:color="000000"/>
        </w:rPr>
        <w:t>Time effective</w:t>
      </w:r>
    </w:p>
    <w:p w:rsidR="00FA7A1D" w:rsidRPr="00B75C08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color w:val="000000"/>
          <w:u w:color="000000"/>
        </w:rPr>
      </w:pPr>
    </w:p>
    <w:p w:rsidR="00FA7A1D" w:rsidRPr="00054D72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54D72">
        <w:rPr>
          <w:rFonts w:eastAsia="Calibri" w:cs="Times New Roman"/>
          <w:color w:val="000000"/>
          <w:u w:color="000000"/>
        </w:rPr>
        <w:t>SECTION</w:t>
      </w:r>
      <w:r w:rsidRPr="00054D72">
        <w:rPr>
          <w:rFonts w:eastAsia="Calibri" w:cs="Times New Roman"/>
          <w:color w:val="000000"/>
          <w:u w:color="000000"/>
        </w:rPr>
        <w:tab/>
        <w:t>2.</w:t>
      </w:r>
      <w:r w:rsidRPr="00054D72">
        <w:rPr>
          <w:rFonts w:eastAsia="Calibri" w:cs="Times New Roman"/>
          <w:color w:val="000000"/>
          <w:u w:color="000000"/>
        </w:rPr>
        <w:tab/>
        <w:t>This act takes effect ninety days after approval by the Governor. For a period of ninety days after the effective date of this act, only warning tickets may be issued for a violation of the provisions of this act.</w:t>
      </w:r>
      <w:r w:rsidRPr="00054D72">
        <w:rPr>
          <w:rFonts w:eastAsia="Calibri" w:cs="Times New Roman"/>
          <w:color w:val="000000"/>
          <w:u w:color="000000"/>
        </w:rPr>
        <w:tab/>
      </w:r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bookmarkStart w:id="2" w:name="Sen1"/>
      <w:bookmarkEnd w:id="2"/>
    </w:p>
    <w:p w:rsidR="00FA7A1D" w:rsidRDefault="00FA7A1D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</w:t>
      </w:r>
    </w:p>
    <w:p w:rsidR="00FA7A1D" w:rsidRDefault="00FA7A1D" w:rsidP="00FA7A1D">
      <w:pPr>
        <w:jc w:val="both"/>
        <w:rPr>
          <w:color w:val="000000" w:themeColor="text1"/>
        </w:rPr>
      </w:pPr>
    </w:p>
    <w:p w:rsidR="00FA7A1D" w:rsidRDefault="00FA7A1D" w:rsidP="00FA7A1D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2765C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2021. </w:t>
      </w:r>
    </w:p>
    <w:p w:rsidR="00FA7A1D" w:rsidRDefault="00FA7A1D" w:rsidP="00FA7A1D">
      <w:pPr>
        <w:jc w:val="center"/>
        <w:rPr>
          <w:color w:val="000000" w:themeColor="text1"/>
        </w:rPr>
      </w:pPr>
    </w:p>
    <w:p w:rsidR="00FA7A1D" w:rsidRDefault="00FA7A1D" w:rsidP="00FA7A1D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E2FB1" w:rsidRPr="004C3C9F" w:rsidRDefault="00DE2FB1" w:rsidP="00FA7A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E2FB1" w:rsidRPr="004C3C9F" w:rsidSect="00DE2FB1">
      <w:footerReference w:type="default" r:id="rId42"/>
      <w:footerReference w:type="first" r:id="rId4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EF1" w:rsidRDefault="00433EF1" w:rsidP="007D5FAC">
      <w:r>
        <w:separator/>
      </w:r>
    </w:p>
  </w:endnote>
  <w:endnote w:type="continuationSeparator" w:id="0">
    <w:p w:rsidR="00433EF1" w:rsidRDefault="00433EF1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FB1" w:rsidRPr="00DE2FB1" w:rsidRDefault="00DE2FB1" w:rsidP="00DE2FB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F2B2B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2FB1" w:rsidRDefault="00DE2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EF1" w:rsidRDefault="00433EF1" w:rsidP="007D5FAC">
      <w:r>
        <w:separator/>
      </w:r>
    </w:p>
  </w:footnote>
  <w:footnote w:type="continuationSeparator" w:id="0">
    <w:p w:rsidR="00433EF1" w:rsidRDefault="00433EF1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3011"/>
    <w:docVar w:name="ActSecretary" w:val="Thurmond"/>
    <w:docVar w:name="ActSIdno" w:val="(77)  3011CM21"/>
    <w:docVar w:name="clipname" w:val="3011CM21"/>
    <w:docVar w:name="dvBillNumber" w:val="3011"/>
    <w:docVar w:name="dvBillNumberPrefix" w:val="H"/>
    <w:docVar w:name="dvOriginalBody" w:val="House"/>
    <w:docVar w:name="HOUSEACTFULLPATH" w:val="L:\COUNCIL\ACTS\3011CM21.DOCX"/>
    <w:docVar w:name="OrigHOUSEBillNo" w:val="3011"/>
    <w:docVar w:name="WhatActtype" w:val="AN ACT"/>
  </w:docVars>
  <w:rsids>
    <w:rsidRoot w:val="00433EF1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102F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4169"/>
    <w:rsid w:val="001C603D"/>
    <w:rsid w:val="001C6957"/>
    <w:rsid w:val="001D0755"/>
    <w:rsid w:val="001D279C"/>
    <w:rsid w:val="001D6463"/>
    <w:rsid w:val="001E47D6"/>
    <w:rsid w:val="001F1A6E"/>
    <w:rsid w:val="001F1CCC"/>
    <w:rsid w:val="001F2B2B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47D4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332E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3EF1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C3C9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2C3B"/>
    <w:rsid w:val="004F4494"/>
    <w:rsid w:val="004F4608"/>
    <w:rsid w:val="004F5867"/>
    <w:rsid w:val="004F6446"/>
    <w:rsid w:val="005062D2"/>
    <w:rsid w:val="005065EC"/>
    <w:rsid w:val="005208D0"/>
    <w:rsid w:val="00524ACC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6644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45F8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66B1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1AD7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E4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3BD9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75C08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D29C3"/>
    <w:rsid w:val="00BD74D9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2932"/>
    <w:rsid w:val="00C230AF"/>
    <w:rsid w:val="00C34674"/>
    <w:rsid w:val="00C3483A"/>
    <w:rsid w:val="00C45263"/>
    <w:rsid w:val="00C46AB4"/>
    <w:rsid w:val="00C55195"/>
    <w:rsid w:val="00C629E1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2FB1"/>
    <w:rsid w:val="00DF0E69"/>
    <w:rsid w:val="00E00FC9"/>
    <w:rsid w:val="00E02CA8"/>
    <w:rsid w:val="00E0650C"/>
    <w:rsid w:val="00E06B5E"/>
    <w:rsid w:val="00E076BB"/>
    <w:rsid w:val="00E140B1"/>
    <w:rsid w:val="00E14905"/>
    <w:rsid w:val="00E22D68"/>
    <w:rsid w:val="00E33964"/>
    <w:rsid w:val="00E33DFF"/>
    <w:rsid w:val="00E3462F"/>
    <w:rsid w:val="00E36231"/>
    <w:rsid w:val="00E43C39"/>
    <w:rsid w:val="00E500F1"/>
    <w:rsid w:val="00E50D52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89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A1D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268024C5-9DDE-45DF-81CE-16DFA36A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E2F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customStyle="1" w:styleId="ConSign">
    <w:name w:val="ConSign"/>
    <w:basedOn w:val="Normal"/>
    <w:rsid w:val="00BD74D9"/>
    <w:pPr>
      <w:tabs>
        <w:tab w:val="left" w:pos="216"/>
        <w:tab w:val="left" w:pos="4680"/>
        <w:tab w:val="left" w:pos="4896"/>
      </w:tabs>
      <w:spacing w:line="480" w:lineRule="auto"/>
      <w:jc w:val="both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A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AC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7102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E2F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633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112.docx" TargetMode="External"/><Relationship Id="rId13" Type="http://schemas.openxmlformats.org/officeDocument/2006/relationships/hyperlink" Target="file:///h:\hj\20210304.docx" TargetMode="External"/><Relationship Id="rId18" Type="http://schemas.openxmlformats.org/officeDocument/2006/relationships/hyperlink" Target="file:///h:\sj\20210325.docx" TargetMode="External"/><Relationship Id="rId26" Type="http://schemas.openxmlformats.org/officeDocument/2006/relationships/hyperlink" Target="file:///h:\sj\20210506.docx" TargetMode="External"/><Relationship Id="rId39" Type="http://schemas.openxmlformats.org/officeDocument/2006/relationships/hyperlink" Target="file:///p:\pprever\2021-22\3011_20210323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\20210406.docx" TargetMode="External"/><Relationship Id="rId34" Type="http://schemas.openxmlformats.org/officeDocument/2006/relationships/hyperlink" Target="file:///h:\hj\20210512.docx" TargetMode="External"/><Relationship Id="rId42" Type="http://schemas.openxmlformats.org/officeDocument/2006/relationships/footer" Target="footer1.xml"/><Relationship Id="rId7" Type="http://schemas.openxmlformats.org/officeDocument/2006/relationships/hyperlink" Target="file:///h:\hj\20210112.docx" TargetMode="External"/><Relationship Id="rId12" Type="http://schemas.openxmlformats.org/officeDocument/2006/relationships/hyperlink" Target="file:///h:\hj\20210304.docx" TargetMode="External"/><Relationship Id="rId17" Type="http://schemas.openxmlformats.org/officeDocument/2006/relationships/hyperlink" Target="file:///h:\sj\20210323.docx" TargetMode="External"/><Relationship Id="rId25" Type="http://schemas.openxmlformats.org/officeDocument/2006/relationships/hyperlink" Target="file:///h:\sj\20210506.docx" TargetMode="External"/><Relationship Id="rId33" Type="http://schemas.openxmlformats.org/officeDocument/2006/relationships/hyperlink" Target="file:///h:\hj\20210512.docx" TargetMode="External"/><Relationship Id="rId38" Type="http://schemas.openxmlformats.org/officeDocument/2006/relationships/hyperlink" Target="file:///p:\pprever\2021-22\3011_2021030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10309.docx" TargetMode="External"/><Relationship Id="rId20" Type="http://schemas.openxmlformats.org/officeDocument/2006/relationships/hyperlink" Target="file:///h:\sj\20210330.docx" TargetMode="External"/><Relationship Id="rId29" Type="http://schemas.openxmlformats.org/officeDocument/2006/relationships/hyperlink" Target="file:///h:\hj\20210512.docx" TargetMode="External"/><Relationship Id="rId41" Type="http://schemas.openxmlformats.org/officeDocument/2006/relationships/hyperlink" Target="file:///p:\pprever\2021-22\3011_2021051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10304.docx" TargetMode="External"/><Relationship Id="rId24" Type="http://schemas.openxmlformats.org/officeDocument/2006/relationships/hyperlink" Target="file:///h:\hj\20210408.docx" TargetMode="External"/><Relationship Id="rId32" Type="http://schemas.openxmlformats.org/officeDocument/2006/relationships/hyperlink" Target="file:///h:\hj\20210512.docx" TargetMode="External"/><Relationship Id="rId37" Type="http://schemas.openxmlformats.org/officeDocument/2006/relationships/hyperlink" Target="file:///p:\pprever\2021-22\3011_20210302.docx" TargetMode="External"/><Relationship Id="rId40" Type="http://schemas.openxmlformats.org/officeDocument/2006/relationships/hyperlink" Target="file:///p:\pprever\2021-22\3011_20210325.docx" TargetMode="External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210309.docx" TargetMode="External"/><Relationship Id="rId23" Type="http://schemas.openxmlformats.org/officeDocument/2006/relationships/hyperlink" Target="file:///h:\sj\20210408.docx" TargetMode="External"/><Relationship Id="rId28" Type="http://schemas.openxmlformats.org/officeDocument/2006/relationships/hyperlink" Target="file:///h:\sj\20210506.docx" TargetMode="External"/><Relationship Id="rId36" Type="http://schemas.openxmlformats.org/officeDocument/2006/relationships/hyperlink" Target="file:///p:\pprever\2021-22\3011_20201209.docx" TargetMode="External"/><Relationship Id="rId10" Type="http://schemas.openxmlformats.org/officeDocument/2006/relationships/hyperlink" Target="file:///h:\hj\20210304.docx" TargetMode="External"/><Relationship Id="rId19" Type="http://schemas.openxmlformats.org/officeDocument/2006/relationships/hyperlink" Target="file:///h:\sj\20210325.docx" TargetMode="External"/><Relationship Id="rId31" Type="http://schemas.openxmlformats.org/officeDocument/2006/relationships/hyperlink" Target="file:///h:\hj\20210512.docx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\20210302.docx" TargetMode="External"/><Relationship Id="rId14" Type="http://schemas.openxmlformats.org/officeDocument/2006/relationships/hyperlink" Target="file:///h:\hj\20210305.docx" TargetMode="External"/><Relationship Id="rId22" Type="http://schemas.openxmlformats.org/officeDocument/2006/relationships/hyperlink" Target="file:///h:\hj\20210406.docx" TargetMode="External"/><Relationship Id="rId27" Type="http://schemas.openxmlformats.org/officeDocument/2006/relationships/hyperlink" Target="file:///h:\sj\20210506.docx" TargetMode="External"/><Relationship Id="rId30" Type="http://schemas.openxmlformats.org/officeDocument/2006/relationships/hyperlink" Target="file:///h:\hj\20210512.docx" TargetMode="External"/><Relationship Id="rId35" Type="http://schemas.openxmlformats.org/officeDocument/2006/relationships/hyperlink" Target="http://www.scstatehouse.gov/billsearch.php?billnumbers=3011&amp;session=124&amp;summary=B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7293F-BF86-4460-86F9-1261F7CBF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1629</Words>
  <Characters>8654</Characters>
  <Application>Microsoft Office Word</Application>
  <DocSecurity>0</DocSecurity>
  <Lines>216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3011: Driving on the right half of road - South Carolina Legislature Online</dc:title>
  <dc:subject/>
  <dc:creator>Gwen Thurmond</dc:creator>
  <cp:keywords/>
  <dc:description/>
  <cp:lastModifiedBy>Danny Crook</cp:lastModifiedBy>
  <cp:revision>2</cp:revision>
  <cp:lastPrinted>2021-05-12T21:31:00Z</cp:lastPrinted>
  <dcterms:created xsi:type="dcterms:W3CDTF">2021-06-14T13:14:00Z</dcterms:created>
  <dcterms:modified xsi:type="dcterms:W3CDTF">2021-06-14T13:14:00Z</dcterms:modified>
</cp:coreProperties>
</file>