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F6138">
        <w:rPr>
          <w:rFonts w:eastAsia="Times New Roman" w:cs="Times New Roman"/>
          <w:b/>
          <w:szCs w:val="20"/>
        </w:rPr>
        <w:t>South Carolina General Assembly</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F6138">
        <w:rPr>
          <w:rFonts w:eastAsia="Times New Roman" w:cs="Times New Roman"/>
          <w:szCs w:val="20"/>
        </w:rPr>
        <w:t>124th Session, 2021-2022</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138" w:rsidRPr="005F6138" w:rsidRDefault="00A226AA"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A238, R265, H3346</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138">
        <w:rPr>
          <w:rFonts w:eastAsia="Times New Roman" w:cs="Times New Roman"/>
          <w:b/>
          <w:szCs w:val="20"/>
        </w:rPr>
        <w:t>STATUS INFORMATION</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138">
        <w:rPr>
          <w:rFonts w:eastAsia="Times New Roman" w:cs="Times New Roman"/>
          <w:szCs w:val="20"/>
        </w:rPr>
        <w:t>General Bill</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138">
        <w:rPr>
          <w:rFonts w:eastAsia="Times New Roman" w:cs="Times New Roman"/>
          <w:szCs w:val="20"/>
        </w:rPr>
        <w:t>Sponsors: Reps. W. Cox, White, Fry, Haddon, Long, Forrest, G.M. Smith, Caskey, Gagnon, Hyde, West, Thayer, Ligon, Daning, Erickson, Bradley, Weeks, B. Newton, McGarry, Carter, Calhoon and Hixon</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138">
        <w:rPr>
          <w:rFonts w:eastAsia="Times New Roman" w:cs="Times New Roman"/>
          <w:szCs w:val="20"/>
        </w:rPr>
        <w:t>Document Path: l:\council\bills\nbd\11093dg21.docx</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138">
        <w:rPr>
          <w:rFonts w:eastAsia="Times New Roman" w:cs="Times New Roman"/>
          <w:szCs w:val="20"/>
        </w:rPr>
        <w:t>Companion/Similar bill(s): 1106, 3347</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59FE" w:rsidRDefault="000559FE"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0559FE" w:rsidRDefault="000559FE"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17, 2022</w:t>
      </w:r>
    </w:p>
    <w:p w:rsidR="000559FE" w:rsidRDefault="000559FE"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rsidR="000559FE" w:rsidRDefault="000559FE"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rsidR="000559FE" w:rsidRDefault="000559FE"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22, 2022, Signed</w:t>
      </w:r>
    </w:p>
    <w:p w:rsidR="000559FE" w:rsidRDefault="000559FE"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138">
        <w:rPr>
          <w:rFonts w:eastAsia="Times New Roman" w:cs="Times New Roman"/>
          <w:szCs w:val="20"/>
        </w:rPr>
        <w:t>Summary: General Reserve Fund and Capital Reserve Fund</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138" w:rsidRPr="005F6138" w:rsidRDefault="005F6138" w:rsidP="005F6138">
      <w:pPr>
        <w:widowControl w:val="0"/>
        <w:tabs>
          <w:tab w:val="center" w:pos="590"/>
          <w:tab w:val="center" w:pos="1440"/>
          <w:tab w:val="left" w:pos="1872"/>
          <w:tab w:val="left" w:pos="9187"/>
        </w:tabs>
        <w:rPr>
          <w:rFonts w:eastAsia="Times New Roman" w:cs="Times New Roman"/>
          <w:szCs w:val="20"/>
        </w:rPr>
      </w:pPr>
      <w:r w:rsidRPr="005F6138">
        <w:rPr>
          <w:rFonts w:eastAsia="Times New Roman" w:cs="Times New Roman"/>
          <w:b/>
          <w:szCs w:val="20"/>
        </w:rPr>
        <w:t>HISTORY OF LEGISLATIVE ACTIONS</w:t>
      </w:r>
    </w:p>
    <w:p w:rsidR="005F6138" w:rsidRPr="005F6138" w:rsidRDefault="005F6138" w:rsidP="005F6138">
      <w:pPr>
        <w:widowControl w:val="0"/>
        <w:tabs>
          <w:tab w:val="center" w:pos="590"/>
          <w:tab w:val="center" w:pos="1440"/>
          <w:tab w:val="left" w:pos="1872"/>
          <w:tab w:val="left" w:pos="9187"/>
        </w:tabs>
        <w:rPr>
          <w:rFonts w:eastAsia="Times New Roman" w:cs="Times New Roman"/>
          <w:szCs w:val="20"/>
        </w:rPr>
      </w:pPr>
    </w:p>
    <w:p w:rsidR="005F6138" w:rsidRPr="005F6138" w:rsidRDefault="005F6138" w:rsidP="005F6138">
      <w:pPr>
        <w:widowControl w:val="0"/>
        <w:tabs>
          <w:tab w:val="center" w:pos="590"/>
          <w:tab w:val="center" w:pos="1440"/>
          <w:tab w:val="left" w:pos="1872"/>
          <w:tab w:val="left" w:pos="9187"/>
        </w:tabs>
        <w:rPr>
          <w:rFonts w:eastAsia="Times New Roman" w:cs="Times New Roman"/>
          <w:szCs w:val="20"/>
        </w:rPr>
      </w:pPr>
      <w:r w:rsidRPr="005F6138">
        <w:rPr>
          <w:rFonts w:eastAsia="Times New Roman" w:cs="Times New Roman"/>
          <w:szCs w:val="20"/>
          <w:u w:val="single"/>
        </w:rPr>
        <w:tab/>
        <w:t>Date</w:t>
      </w:r>
      <w:r w:rsidRPr="005F6138">
        <w:rPr>
          <w:rFonts w:eastAsia="Times New Roman" w:cs="Times New Roman"/>
          <w:szCs w:val="20"/>
          <w:u w:val="single"/>
        </w:rPr>
        <w:tab/>
        <w:t>Body</w:t>
      </w:r>
      <w:r w:rsidRPr="005F6138">
        <w:rPr>
          <w:rFonts w:eastAsia="Times New Roman" w:cs="Times New Roman"/>
          <w:szCs w:val="20"/>
          <w:u w:val="single"/>
        </w:rPr>
        <w:tab/>
        <w:t>Action Description with journal page number</w:t>
      </w:r>
      <w:r w:rsidRPr="005F6138">
        <w:rPr>
          <w:rFonts w:eastAsia="Times New Roman" w:cs="Times New Roman"/>
          <w:szCs w:val="20"/>
          <w:u w:val="single"/>
        </w:rPr>
        <w:tab/>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9D47B3">
        <w:rPr>
          <w:rFonts w:cs="Times New Roman"/>
          <w:b/>
        </w:rPr>
        <w:t>Ways and Means</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9D47B3">
          <w:rPr>
            <w:rStyle w:val="Hyperlink"/>
            <w:rFonts w:cs="Times New Roman"/>
          </w:rPr>
          <w:t>House Journal</w:t>
        </w:r>
        <w:r w:rsidRPr="009D47B3">
          <w:rPr>
            <w:rStyle w:val="Hyperlink"/>
            <w:rFonts w:cs="Times New Roman"/>
          </w:rPr>
          <w:noBreakHyphen/>
          <w:t>page 166</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9D47B3">
        <w:rPr>
          <w:rFonts w:cs="Times New Roman"/>
          <w:b/>
        </w:rPr>
        <w:t>Ways and Means</w:t>
      </w:r>
      <w:r>
        <w:rPr>
          <w:rFonts w:cs="Times New Roman"/>
        </w:rPr>
        <w:t xml:space="preserve"> (</w:t>
      </w:r>
      <w:hyperlink r:id="rId8" w:history="1">
        <w:r w:rsidRPr="009D47B3">
          <w:rPr>
            <w:rStyle w:val="Hyperlink"/>
            <w:rFonts w:cs="Times New Roman"/>
          </w:rPr>
          <w:t>House Journal</w:t>
        </w:r>
        <w:r w:rsidRPr="009D47B3">
          <w:rPr>
            <w:rStyle w:val="Hyperlink"/>
            <w:rFonts w:cs="Times New Roman"/>
          </w:rPr>
          <w:noBreakHyphen/>
          <w:t>page 166</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House</w:t>
      </w:r>
      <w:r>
        <w:rPr>
          <w:rFonts w:cs="Times New Roman"/>
        </w:rPr>
        <w:tab/>
        <w:t>Member(s) request name added as sponsor: G.M.Smith, Caskey</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3/22/2021</w:t>
      </w:r>
      <w:r>
        <w:rPr>
          <w:rFonts w:cs="Times New Roman"/>
        </w:rPr>
        <w:tab/>
        <w:t>House</w:t>
      </w:r>
      <w:r>
        <w:rPr>
          <w:rFonts w:cs="Times New Roman"/>
        </w:rPr>
        <w:tab/>
        <w:t>Member(s) request name added as sponsor: Gagnon, Hyde, West, Thayer, Ligon</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2/9/2022</w:t>
      </w:r>
      <w:r>
        <w:rPr>
          <w:rFonts w:cs="Times New Roman"/>
        </w:rPr>
        <w:tab/>
        <w:t>House</w:t>
      </w:r>
      <w:r>
        <w:rPr>
          <w:rFonts w:cs="Times New Roman"/>
        </w:rPr>
        <w:tab/>
        <w:t>Member(s) request name added as sponsor: Daning, Erickson, Bradley</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House</w:t>
      </w:r>
      <w:r>
        <w:rPr>
          <w:rFonts w:cs="Times New Roman"/>
        </w:rPr>
        <w:tab/>
        <w:t xml:space="preserve">Committee report: Favorable </w:t>
      </w:r>
      <w:r w:rsidRPr="009D47B3">
        <w:rPr>
          <w:rFonts w:cs="Times New Roman"/>
          <w:b/>
        </w:rPr>
        <w:t>Ways and Means</w:t>
      </w:r>
      <w:r>
        <w:rPr>
          <w:rFonts w:cs="Times New Roman"/>
        </w:rPr>
        <w:t xml:space="preserve"> (</w:t>
      </w:r>
      <w:hyperlink r:id="rId9" w:history="1">
        <w:r w:rsidRPr="009D47B3">
          <w:rPr>
            <w:rStyle w:val="Hyperlink"/>
            <w:rFonts w:cs="Times New Roman"/>
          </w:rPr>
          <w:t>House Journal</w:t>
        </w:r>
        <w:r w:rsidRPr="009D47B3">
          <w:rPr>
            <w:rStyle w:val="Hyperlink"/>
            <w:rFonts w:cs="Times New Roman"/>
          </w:rPr>
          <w:noBreakHyphen/>
          <w:t>page 2</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t>House</w:t>
      </w:r>
      <w:r>
        <w:rPr>
          <w:rFonts w:cs="Times New Roman"/>
        </w:rPr>
        <w:tab/>
        <w:t>Member(s) request name added as sponsor: Weeks, B.Newton, McGarry</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Member(s) request name added as sponsor: Carter, Calhoon, Hixon</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Read second time (</w:t>
      </w:r>
      <w:hyperlink r:id="rId10" w:history="1">
        <w:r w:rsidRPr="009D47B3">
          <w:rPr>
            <w:rStyle w:val="Hyperlink"/>
            <w:rFonts w:cs="Times New Roman"/>
          </w:rPr>
          <w:t>House Journal</w:t>
        </w:r>
        <w:r w:rsidRPr="009D47B3">
          <w:rPr>
            <w:rStyle w:val="Hyperlink"/>
            <w:rFonts w:cs="Times New Roman"/>
          </w:rPr>
          <w:noBreakHyphen/>
          <w:t>page 40</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1" w:history="1">
        <w:r w:rsidRPr="009D47B3">
          <w:rPr>
            <w:rStyle w:val="Hyperlink"/>
            <w:rFonts w:cs="Times New Roman"/>
          </w:rPr>
          <w:t>House Journal</w:t>
        </w:r>
        <w:r w:rsidRPr="009D47B3">
          <w:rPr>
            <w:rStyle w:val="Hyperlink"/>
            <w:rFonts w:cs="Times New Roman"/>
          </w:rPr>
          <w:noBreakHyphen/>
          <w:t>page 41</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Read third time and sent to Senate (</w:t>
      </w:r>
      <w:hyperlink r:id="rId12" w:history="1">
        <w:r w:rsidRPr="009D47B3">
          <w:rPr>
            <w:rStyle w:val="Hyperlink"/>
            <w:rFonts w:cs="Times New Roman"/>
          </w:rPr>
          <w:t>House Journal</w:t>
        </w:r>
        <w:r w:rsidRPr="009D47B3">
          <w:rPr>
            <w:rStyle w:val="Hyperlink"/>
            <w:rFonts w:cs="Times New Roman"/>
          </w:rPr>
          <w:noBreakHyphen/>
          <w:t>page 38</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Introduced and read first time (</w:t>
      </w:r>
      <w:hyperlink r:id="rId13" w:history="1">
        <w:r w:rsidRPr="009D47B3">
          <w:rPr>
            <w:rStyle w:val="Hyperlink"/>
            <w:rFonts w:cs="Times New Roman"/>
          </w:rPr>
          <w:t>Senate Journal</w:t>
        </w:r>
        <w:r w:rsidRPr="009D47B3">
          <w:rPr>
            <w:rStyle w:val="Hyperlink"/>
            <w:rFonts w:cs="Times New Roman"/>
          </w:rPr>
          <w:noBreakHyphen/>
          <w:t>page 7</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 xml:space="preserve">Referred to Committee on </w:t>
      </w:r>
      <w:r w:rsidRPr="009D47B3">
        <w:rPr>
          <w:rFonts w:cs="Times New Roman"/>
          <w:b/>
        </w:rPr>
        <w:t>Finance</w:t>
      </w:r>
      <w:r>
        <w:rPr>
          <w:rFonts w:cs="Times New Roman"/>
        </w:rPr>
        <w:t xml:space="preserve"> (</w:t>
      </w:r>
      <w:hyperlink r:id="rId14" w:history="1">
        <w:r w:rsidRPr="009D47B3">
          <w:rPr>
            <w:rStyle w:val="Hyperlink"/>
            <w:rFonts w:cs="Times New Roman"/>
          </w:rPr>
          <w:t>Senate Journal</w:t>
        </w:r>
        <w:r w:rsidRPr="009D47B3">
          <w:rPr>
            <w:rStyle w:val="Hyperlink"/>
            <w:rFonts w:cs="Times New Roman"/>
          </w:rPr>
          <w:noBreakHyphen/>
          <w:t>page 7</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Senate</w:t>
      </w:r>
      <w:r>
        <w:rPr>
          <w:rFonts w:cs="Times New Roman"/>
        </w:rPr>
        <w:tab/>
        <w:t xml:space="preserve">Committee report: Favorable with amendment </w:t>
      </w:r>
      <w:r w:rsidRPr="009D47B3">
        <w:rPr>
          <w:rFonts w:cs="Times New Roman"/>
          <w:b/>
        </w:rPr>
        <w:t>Finance</w:t>
      </w:r>
      <w:r>
        <w:rPr>
          <w:rFonts w:cs="Times New Roman"/>
        </w:rPr>
        <w:t xml:space="preserve"> (</w:t>
      </w:r>
      <w:hyperlink r:id="rId15" w:history="1">
        <w:r w:rsidRPr="009D47B3">
          <w:rPr>
            <w:rStyle w:val="Hyperlink"/>
            <w:rFonts w:cs="Times New Roman"/>
          </w:rPr>
          <w:t>Senate Journal</w:t>
        </w:r>
        <w:r w:rsidRPr="009D47B3">
          <w:rPr>
            <w:rStyle w:val="Hyperlink"/>
            <w:rFonts w:cs="Times New Roman"/>
          </w:rPr>
          <w:noBreakHyphen/>
          <w:t>page 12</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r>
      <w:r>
        <w:rPr>
          <w:rFonts w:cs="Times New Roman"/>
        </w:rPr>
        <w:tab/>
        <w:t>Scrivener's error corrected</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Committee Amendment Adopted (</w:t>
      </w:r>
      <w:hyperlink r:id="rId16" w:history="1">
        <w:r w:rsidRPr="009D47B3">
          <w:rPr>
            <w:rStyle w:val="Hyperlink"/>
            <w:rFonts w:cs="Times New Roman"/>
          </w:rPr>
          <w:t>Senate Journal</w:t>
        </w:r>
        <w:r w:rsidRPr="009D47B3">
          <w:rPr>
            <w:rStyle w:val="Hyperlink"/>
            <w:rFonts w:cs="Times New Roman"/>
          </w:rPr>
          <w:noBreakHyphen/>
          <w:t>page 35</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Amended (</w:t>
      </w:r>
      <w:hyperlink r:id="rId17" w:history="1">
        <w:r w:rsidRPr="009D47B3">
          <w:rPr>
            <w:rStyle w:val="Hyperlink"/>
            <w:rFonts w:cs="Times New Roman"/>
          </w:rPr>
          <w:t>Senate Journal</w:t>
        </w:r>
        <w:r w:rsidRPr="009D47B3">
          <w:rPr>
            <w:rStyle w:val="Hyperlink"/>
            <w:rFonts w:cs="Times New Roman"/>
          </w:rPr>
          <w:noBreakHyphen/>
          <w:t>page 20</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Read second time (</w:t>
      </w:r>
      <w:hyperlink r:id="rId18" w:history="1">
        <w:r w:rsidRPr="009D47B3">
          <w:rPr>
            <w:rStyle w:val="Hyperlink"/>
            <w:rFonts w:cs="Times New Roman"/>
          </w:rPr>
          <w:t>Senate Journal</w:t>
        </w:r>
        <w:r w:rsidRPr="009D47B3">
          <w:rPr>
            <w:rStyle w:val="Hyperlink"/>
            <w:rFonts w:cs="Times New Roman"/>
          </w:rPr>
          <w:noBreakHyphen/>
          <w:t>page 20</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9" w:history="1">
        <w:r w:rsidRPr="009D47B3">
          <w:rPr>
            <w:rStyle w:val="Hyperlink"/>
            <w:rFonts w:cs="Times New Roman"/>
          </w:rPr>
          <w:t>Senate Journal</w:t>
        </w:r>
        <w:r w:rsidRPr="009D47B3">
          <w:rPr>
            <w:rStyle w:val="Hyperlink"/>
            <w:rFonts w:cs="Times New Roman"/>
          </w:rPr>
          <w:noBreakHyphen/>
          <w:t>page 20</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3/21/2022</w:t>
      </w:r>
      <w:r>
        <w:rPr>
          <w:rFonts w:cs="Times New Roman"/>
        </w:rPr>
        <w:tab/>
      </w:r>
      <w:r>
        <w:rPr>
          <w:rFonts w:cs="Times New Roman"/>
        </w:rPr>
        <w:tab/>
        <w:t>Scrivener's error corrected</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Read third time and returned to House with amendments (</w:t>
      </w:r>
      <w:hyperlink r:id="rId20" w:history="1">
        <w:r w:rsidRPr="009D47B3">
          <w:rPr>
            <w:rStyle w:val="Hyperlink"/>
            <w:rFonts w:cs="Times New Roman"/>
          </w:rPr>
          <w:t>Senate Journal</w:t>
        </w:r>
        <w:r w:rsidRPr="009D47B3">
          <w:rPr>
            <w:rStyle w:val="Hyperlink"/>
            <w:rFonts w:cs="Times New Roman"/>
          </w:rPr>
          <w:noBreakHyphen/>
          <w:t>page 6</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Debate adjourned (</w:t>
      </w:r>
      <w:hyperlink r:id="rId21" w:history="1">
        <w:r w:rsidRPr="009D47B3">
          <w:rPr>
            <w:rStyle w:val="Hyperlink"/>
            <w:rFonts w:cs="Times New Roman"/>
          </w:rPr>
          <w:t>House Journal</w:t>
        </w:r>
        <w:r w:rsidRPr="009D47B3">
          <w:rPr>
            <w:rStyle w:val="Hyperlink"/>
            <w:rFonts w:cs="Times New Roman"/>
          </w:rPr>
          <w:noBreakHyphen/>
          <w:t>page 22</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Debate adjourned until  Tues., May 3 (</w:t>
      </w:r>
      <w:hyperlink r:id="rId22" w:history="1">
        <w:r w:rsidRPr="009D47B3">
          <w:rPr>
            <w:rStyle w:val="Hyperlink"/>
            <w:rFonts w:cs="Times New Roman"/>
          </w:rPr>
          <w:t>House Journal</w:t>
        </w:r>
        <w:r w:rsidRPr="009D47B3">
          <w:rPr>
            <w:rStyle w:val="Hyperlink"/>
            <w:rFonts w:cs="Times New Roman"/>
          </w:rPr>
          <w:noBreakHyphen/>
          <w:t>page 17</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Debate adjourned (</w:t>
      </w:r>
      <w:hyperlink r:id="rId23" w:history="1">
        <w:r w:rsidRPr="009D47B3">
          <w:rPr>
            <w:rStyle w:val="Hyperlink"/>
            <w:rFonts w:cs="Times New Roman"/>
          </w:rPr>
          <w:t>House Journal</w:t>
        </w:r>
        <w:r w:rsidRPr="009D47B3">
          <w:rPr>
            <w:rStyle w:val="Hyperlink"/>
            <w:rFonts w:cs="Times New Roman"/>
          </w:rPr>
          <w:noBreakHyphen/>
          <w:t>page 131</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Debate adjourned (</w:t>
      </w:r>
      <w:hyperlink r:id="rId24" w:history="1">
        <w:r w:rsidRPr="009D47B3">
          <w:rPr>
            <w:rStyle w:val="Hyperlink"/>
            <w:rFonts w:cs="Times New Roman"/>
          </w:rPr>
          <w:t>House Journal</w:t>
        </w:r>
        <w:r w:rsidRPr="009D47B3">
          <w:rPr>
            <w:rStyle w:val="Hyperlink"/>
            <w:rFonts w:cs="Times New Roman"/>
          </w:rPr>
          <w:noBreakHyphen/>
          <w:t>page 100</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Senate amendment amended (</w:t>
      </w:r>
      <w:hyperlink r:id="rId25" w:history="1">
        <w:r w:rsidRPr="009D47B3">
          <w:rPr>
            <w:rStyle w:val="Hyperlink"/>
            <w:rFonts w:cs="Times New Roman"/>
          </w:rPr>
          <w:t>House Journal</w:t>
        </w:r>
        <w:r w:rsidRPr="009D47B3">
          <w:rPr>
            <w:rStyle w:val="Hyperlink"/>
            <w:rFonts w:cs="Times New Roman"/>
          </w:rPr>
          <w:noBreakHyphen/>
          <w:t>page 598</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xxx  Nays</w:t>
      </w:r>
      <w:r>
        <w:rPr>
          <w:rFonts w:cs="Times New Roman"/>
        </w:rPr>
        <w:noBreakHyphen/>
        <w:t>xxx (</w:t>
      </w:r>
      <w:hyperlink r:id="rId26" w:history="1">
        <w:r w:rsidRPr="009D47B3">
          <w:rPr>
            <w:rStyle w:val="Hyperlink"/>
            <w:rFonts w:cs="Times New Roman"/>
          </w:rPr>
          <w:t>House Journal</w:t>
        </w:r>
        <w:r w:rsidRPr="009D47B3">
          <w:rPr>
            <w:rStyle w:val="Hyperlink"/>
            <w:rFonts w:cs="Times New Roman"/>
          </w:rPr>
          <w:noBreakHyphen/>
          <w:t>page 600</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lastRenderedPageBreak/>
        <w:tab/>
        <w:t>5/10/2022</w:t>
      </w:r>
      <w:r>
        <w:rPr>
          <w:rFonts w:cs="Times New Roman"/>
        </w:rPr>
        <w:tab/>
        <w:t>House</w:t>
      </w:r>
      <w:r>
        <w:rPr>
          <w:rFonts w:cs="Times New Roman"/>
        </w:rPr>
        <w:tab/>
        <w:t>Returned to Senate with amendments (</w:t>
      </w:r>
      <w:hyperlink r:id="rId27" w:history="1">
        <w:r w:rsidRPr="009D47B3">
          <w:rPr>
            <w:rStyle w:val="Hyperlink"/>
            <w:rFonts w:cs="Times New Roman"/>
          </w:rPr>
          <w:t>House Journal</w:t>
        </w:r>
        <w:r w:rsidRPr="009D47B3">
          <w:rPr>
            <w:rStyle w:val="Hyperlink"/>
            <w:rFonts w:cs="Times New Roman"/>
          </w:rPr>
          <w:noBreakHyphen/>
          <w:t>page 601</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Non</w:t>
      </w:r>
      <w:r>
        <w:rPr>
          <w:rFonts w:cs="Times New Roman"/>
        </w:rPr>
        <w:noBreakHyphen/>
        <w:t>concurrence in House amendment (</w:t>
      </w:r>
      <w:hyperlink r:id="rId28" w:history="1">
        <w:r w:rsidRPr="009D47B3">
          <w:rPr>
            <w:rStyle w:val="Hyperlink"/>
            <w:rFonts w:cs="Times New Roman"/>
          </w:rPr>
          <w:t>Senate Journal</w:t>
        </w:r>
        <w:r w:rsidRPr="009D47B3">
          <w:rPr>
            <w:rStyle w:val="Hyperlink"/>
            <w:rFonts w:cs="Times New Roman"/>
          </w:rPr>
          <w:noBreakHyphen/>
          <w:t>page 184</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Returned to House with amendments (</w:t>
      </w:r>
      <w:hyperlink r:id="rId29" w:history="1">
        <w:r w:rsidRPr="009D47B3">
          <w:rPr>
            <w:rStyle w:val="Hyperlink"/>
            <w:rFonts w:cs="Times New Roman"/>
          </w:rPr>
          <w:t>Senate Journal</w:t>
        </w:r>
        <w:r w:rsidRPr="009D47B3">
          <w:rPr>
            <w:rStyle w:val="Hyperlink"/>
            <w:rFonts w:cs="Times New Roman"/>
          </w:rPr>
          <w:noBreakHyphen/>
          <w:t>page 184</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Non</w:t>
      </w:r>
      <w:r>
        <w:rPr>
          <w:rFonts w:cs="Times New Roman"/>
        </w:rPr>
        <w:noBreakHyphen/>
        <w:t>concurrence in House amendment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House insists upon amendment and conference committee appointed Reps.  GM Smith, Simrill, Rutherford (</w:t>
      </w:r>
      <w:hyperlink r:id="rId30" w:history="1">
        <w:r w:rsidRPr="009D47B3">
          <w:rPr>
            <w:rStyle w:val="Hyperlink"/>
            <w:rFonts w:cs="Times New Roman"/>
          </w:rPr>
          <w:t>House Journal</w:t>
        </w:r>
        <w:r w:rsidRPr="009D47B3">
          <w:rPr>
            <w:rStyle w:val="Hyperlink"/>
            <w:rFonts w:cs="Times New Roman"/>
          </w:rPr>
          <w:noBreakHyphen/>
          <w:t>page 298</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Peeler, Setzler, Alexander (</w:t>
      </w:r>
      <w:hyperlink r:id="rId31" w:history="1">
        <w:r w:rsidRPr="009D47B3">
          <w:rPr>
            <w:rStyle w:val="Hyperlink"/>
            <w:rFonts w:cs="Times New Roman"/>
          </w:rPr>
          <w:t>Senate Journal</w:t>
        </w:r>
        <w:r w:rsidRPr="009D47B3">
          <w:rPr>
            <w:rStyle w:val="Hyperlink"/>
            <w:rFonts w:cs="Times New Roman"/>
          </w:rPr>
          <w:noBreakHyphen/>
          <w:t>page 36</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32" w:history="1">
        <w:r w:rsidRPr="009D47B3">
          <w:rPr>
            <w:rStyle w:val="Hyperlink"/>
            <w:rFonts w:cs="Times New Roman"/>
          </w:rPr>
          <w:t>House Journal</w:t>
        </w:r>
        <w:r w:rsidRPr="009D47B3">
          <w:rPr>
            <w:rStyle w:val="Hyperlink"/>
            <w:rFonts w:cs="Times New Roman"/>
          </w:rPr>
          <w:noBreakHyphen/>
          <w:t>page 53</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33" w:history="1">
        <w:r w:rsidRPr="009D47B3">
          <w:rPr>
            <w:rStyle w:val="Hyperlink"/>
            <w:rFonts w:cs="Times New Roman"/>
          </w:rPr>
          <w:t>House Journal</w:t>
        </w:r>
        <w:r w:rsidRPr="009D47B3">
          <w:rPr>
            <w:rStyle w:val="Hyperlink"/>
            <w:rFonts w:cs="Times New Roman"/>
          </w:rPr>
          <w:noBreakHyphen/>
          <w:t>page 58</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34" w:history="1">
        <w:r w:rsidRPr="009D47B3">
          <w:rPr>
            <w:rStyle w:val="Hyperlink"/>
            <w:rFonts w:cs="Times New Roman"/>
          </w:rPr>
          <w:t>Senate Journal</w:t>
        </w:r>
        <w:r w:rsidRPr="009D47B3">
          <w:rPr>
            <w:rStyle w:val="Hyperlink"/>
            <w:rFonts w:cs="Times New Roman"/>
          </w:rPr>
          <w:noBreakHyphen/>
          <w:t>page 43</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38  Nays</w:t>
      </w:r>
      <w:r>
        <w:rPr>
          <w:rFonts w:cs="Times New Roman"/>
        </w:rPr>
        <w:noBreakHyphen/>
        <w:t>2 (</w:t>
      </w:r>
      <w:hyperlink r:id="rId35" w:history="1">
        <w:r w:rsidRPr="009D47B3">
          <w:rPr>
            <w:rStyle w:val="Hyperlink"/>
            <w:rFonts w:cs="Times New Roman"/>
          </w:rPr>
          <w:t>Senate Journal</w:t>
        </w:r>
        <w:r w:rsidRPr="009D47B3">
          <w:rPr>
            <w:rStyle w:val="Hyperlink"/>
            <w:rFonts w:cs="Times New Roman"/>
          </w:rPr>
          <w:noBreakHyphen/>
          <w:t>page 43</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Ordered enrolled for ratification (</w:t>
      </w:r>
      <w:hyperlink r:id="rId36" w:history="1">
        <w:r w:rsidRPr="009D47B3">
          <w:rPr>
            <w:rStyle w:val="Hyperlink"/>
            <w:rFonts w:cs="Times New Roman"/>
          </w:rPr>
          <w:t>Senate Journal</w:t>
        </w:r>
        <w:r w:rsidRPr="009D47B3">
          <w:rPr>
            <w:rStyle w:val="Hyperlink"/>
            <w:rFonts w:cs="Times New Roman"/>
          </w:rPr>
          <w:noBreakHyphen/>
          <w:t>page 50</w:t>
        </w:r>
      </w:hyperlink>
      <w:r>
        <w:rPr>
          <w:rFonts w:cs="Times New Roman"/>
        </w:rPr>
        <w:t>)</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265</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6/22/2022</w:t>
      </w:r>
      <w:r>
        <w:rPr>
          <w:rFonts w:cs="Times New Roman"/>
        </w:rPr>
        <w:tab/>
      </w:r>
      <w:r>
        <w:rPr>
          <w:rFonts w:cs="Times New Roman"/>
        </w:rPr>
        <w:tab/>
        <w:t>Signed By Governor</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See Act for Effective Date</w:t>
      </w:r>
    </w:p>
    <w:p w:rsidR="00A226AA" w:rsidRDefault="00A226AA" w:rsidP="00A226AA">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238</w:t>
      </w:r>
    </w:p>
    <w:p w:rsidR="00A226AA" w:rsidRDefault="00A226AA" w:rsidP="00A226AA">
      <w:pPr>
        <w:widowControl w:val="0"/>
        <w:tabs>
          <w:tab w:val="right" w:pos="1008"/>
          <w:tab w:val="left" w:pos="1152"/>
          <w:tab w:val="left" w:pos="1872"/>
          <w:tab w:val="left" w:pos="9187"/>
        </w:tabs>
        <w:ind w:left="2088" w:hanging="2088"/>
        <w:rPr>
          <w:rFonts w:cs="Times New Roman"/>
        </w:rPr>
      </w:pPr>
    </w:p>
    <w:p w:rsidR="005F6138" w:rsidRPr="005F6138" w:rsidRDefault="005F6138" w:rsidP="005F6138">
      <w:pPr>
        <w:widowControl w:val="0"/>
        <w:tabs>
          <w:tab w:val="right" w:pos="1008"/>
          <w:tab w:val="left" w:pos="1152"/>
          <w:tab w:val="left" w:pos="1872"/>
          <w:tab w:val="left" w:pos="9187"/>
        </w:tabs>
        <w:ind w:left="2088" w:hanging="2088"/>
        <w:rPr>
          <w:rFonts w:eastAsia="Times New Roman" w:cs="Times New Roman"/>
          <w:szCs w:val="20"/>
        </w:rPr>
      </w:pPr>
      <w:r w:rsidRPr="005F6138">
        <w:rPr>
          <w:rFonts w:eastAsia="Times New Roman" w:cs="Times New Roman"/>
          <w:szCs w:val="20"/>
        </w:rPr>
        <w:t xml:space="preserve">View the latest </w:t>
      </w:r>
      <w:hyperlink r:id="rId37" w:history="1">
        <w:r w:rsidRPr="005F6138">
          <w:rPr>
            <w:rFonts w:eastAsia="Times New Roman" w:cs="Times New Roman"/>
            <w:color w:val="0000FF" w:themeColor="hyperlink"/>
            <w:szCs w:val="20"/>
            <w:u w:val="single"/>
          </w:rPr>
          <w:t>legislative information</w:t>
        </w:r>
      </w:hyperlink>
      <w:r w:rsidRPr="005F6138">
        <w:rPr>
          <w:rFonts w:eastAsia="Times New Roman" w:cs="Times New Roman"/>
          <w:szCs w:val="20"/>
        </w:rPr>
        <w:t xml:space="preserve"> at the website</w:t>
      </w:r>
    </w:p>
    <w:p w:rsidR="005F6138" w:rsidRPr="005F6138" w:rsidRDefault="005F6138" w:rsidP="005F6138">
      <w:pPr>
        <w:widowControl w:val="0"/>
        <w:tabs>
          <w:tab w:val="right" w:pos="1008"/>
          <w:tab w:val="left" w:pos="1152"/>
          <w:tab w:val="left" w:pos="1872"/>
          <w:tab w:val="left" w:pos="9187"/>
        </w:tabs>
        <w:ind w:left="2088" w:hanging="2088"/>
        <w:rPr>
          <w:rFonts w:eastAsia="Times New Roman" w:cs="Times New Roman"/>
          <w:szCs w:val="20"/>
        </w:rPr>
      </w:pPr>
    </w:p>
    <w:p w:rsidR="005F6138" w:rsidRPr="005F6138" w:rsidRDefault="005F6138" w:rsidP="005F6138">
      <w:pPr>
        <w:widowControl w:val="0"/>
        <w:tabs>
          <w:tab w:val="right" w:pos="1008"/>
          <w:tab w:val="left" w:pos="1152"/>
          <w:tab w:val="left" w:pos="1872"/>
          <w:tab w:val="left" w:pos="9187"/>
        </w:tabs>
        <w:ind w:left="2088" w:hanging="2088"/>
        <w:rPr>
          <w:rFonts w:eastAsia="Times New Roman" w:cs="Times New Roman"/>
          <w:szCs w:val="20"/>
        </w:rPr>
      </w:pP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138">
        <w:rPr>
          <w:rFonts w:eastAsia="Times New Roman" w:cs="Times New Roman"/>
          <w:b/>
          <w:szCs w:val="20"/>
        </w:rPr>
        <w:t>VERSIONS OF THIS BILL</w:t>
      </w:r>
    </w:p>
    <w:p w:rsidR="005F6138" w:rsidRPr="005F6138" w:rsidRDefault="005F6138"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138" w:rsidRPr="005F6138" w:rsidRDefault="00EF1AA3" w:rsidP="005F61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8" w:history="1">
        <w:r w:rsidR="005F6138" w:rsidRPr="005F6138">
          <w:rPr>
            <w:rFonts w:eastAsia="Times New Roman" w:cs="Times New Roman"/>
            <w:color w:val="0000FF" w:themeColor="hyperlink"/>
            <w:szCs w:val="20"/>
            <w:u w:val="single"/>
          </w:rPr>
          <w:t>12/9/2020</w:t>
        </w:r>
      </w:hyperlink>
    </w:p>
    <w:p w:rsidR="005F6138" w:rsidRPr="005F6138" w:rsidRDefault="00EF1AA3"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5F6138" w:rsidRPr="005F6138">
          <w:rPr>
            <w:rFonts w:eastAsia="Times New Roman" w:cs="Times New Roman"/>
            <w:color w:val="0000FF" w:themeColor="hyperlink"/>
            <w:szCs w:val="20"/>
            <w:u w:val="single"/>
          </w:rPr>
          <w:t>2/10/2022</w:t>
        </w:r>
      </w:hyperlink>
    </w:p>
    <w:p w:rsidR="005F6138" w:rsidRPr="005F6138" w:rsidRDefault="00EF1AA3"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5F6138" w:rsidRPr="005F6138">
          <w:rPr>
            <w:rFonts w:eastAsia="Times New Roman" w:cs="Times New Roman"/>
            <w:color w:val="0000FF" w:themeColor="hyperlink"/>
            <w:szCs w:val="20"/>
            <w:u w:val="single"/>
          </w:rPr>
          <w:t>3/9/2022</w:t>
        </w:r>
      </w:hyperlink>
    </w:p>
    <w:p w:rsidR="005F6138" w:rsidRPr="005F6138" w:rsidRDefault="00EF1AA3"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5F6138" w:rsidRPr="005F6138">
          <w:rPr>
            <w:rFonts w:eastAsia="Times New Roman" w:cs="Times New Roman"/>
            <w:color w:val="0000FF" w:themeColor="hyperlink"/>
            <w:szCs w:val="20"/>
            <w:u w:val="single"/>
          </w:rPr>
          <w:t>3/10/2022</w:t>
        </w:r>
      </w:hyperlink>
    </w:p>
    <w:p w:rsidR="005F6138" w:rsidRPr="005F6138" w:rsidRDefault="00EF1AA3"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5F6138" w:rsidRPr="005F6138">
          <w:rPr>
            <w:rFonts w:eastAsia="Times New Roman" w:cs="Times New Roman"/>
            <w:color w:val="0000FF" w:themeColor="hyperlink"/>
            <w:szCs w:val="20"/>
            <w:u w:val="single"/>
          </w:rPr>
          <w:t>3/15/2022</w:t>
        </w:r>
      </w:hyperlink>
    </w:p>
    <w:p w:rsidR="005F6138" w:rsidRPr="005F6138" w:rsidRDefault="00EF1AA3"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5F6138" w:rsidRPr="005F6138">
          <w:rPr>
            <w:rFonts w:eastAsia="Times New Roman" w:cs="Times New Roman"/>
            <w:color w:val="0000FF" w:themeColor="hyperlink"/>
            <w:szCs w:val="20"/>
            <w:u w:val="single"/>
          </w:rPr>
          <w:t>3/17/2022</w:t>
        </w:r>
      </w:hyperlink>
    </w:p>
    <w:p w:rsidR="005F6138" w:rsidRPr="005F6138" w:rsidRDefault="00EF1AA3"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5F6138" w:rsidRPr="005F6138">
          <w:rPr>
            <w:rFonts w:eastAsia="Times New Roman" w:cs="Times New Roman"/>
            <w:color w:val="0000FF" w:themeColor="hyperlink"/>
            <w:szCs w:val="20"/>
            <w:u w:val="single"/>
          </w:rPr>
          <w:t>3/21/2022</w:t>
        </w:r>
      </w:hyperlink>
    </w:p>
    <w:p w:rsidR="005F6138" w:rsidRPr="005F6138" w:rsidRDefault="00EF1AA3"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5F6138" w:rsidRPr="005F6138">
          <w:rPr>
            <w:rFonts w:eastAsia="Times New Roman" w:cs="Times New Roman"/>
            <w:color w:val="0000FF" w:themeColor="hyperlink"/>
            <w:szCs w:val="20"/>
            <w:u w:val="single"/>
          </w:rPr>
          <w:t>5/10/2022</w:t>
        </w:r>
      </w:hyperlink>
    </w:p>
    <w:p w:rsidR="005F6138" w:rsidRPr="005F6138" w:rsidRDefault="00EF1AA3"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5F6138" w:rsidRPr="005F6138">
          <w:rPr>
            <w:rFonts w:eastAsia="Times New Roman" w:cs="Times New Roman"/>
            <w:color w:val="0000FF" w:themeColor="hyperlink"/>
            <w:szCs w:val="20"/>
            <w:u w:val="single"/>
          </w:rPr>
          <w:t>6/15/2022</w:t>
        </w:r>
      </w:hyperlink>
    </w:p>
    <w:p w:rsidR="005F6138" w:rsidRPr="005F6138" w:rsidRDefault="005F6138"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F6138" w:rsidRDefault="005F6138" w:rsidP="005F61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F6138" w:rsidSect="005F6138">
          <w:pgSz w:w="12240" w:h="15840" w:code="1"/>
          <w:pgMar w:top="1080" w:right="1440" w:bottom="1080" w:left="1440" w:header="720" w:footer="720" w:gutter="0"/>
          <w:pgNumType w:start="1"/>
          <w:cols w:space="720"/>
          <w:noEndnote/>
          <w:docGrid w:linePitch="360"/>
        </w:sectPr>
      </w:pPr>
    </w:p>
    <w:p w:rsidR="00EA3BF5"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(A238, R265, H3346)</w:t>
      </w:r>
    </w:p>
    <w:p w:rsidR="00EA3BF5" w:rsidRPr="008836A5"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3BF5" w:rsidRPr="005F6138"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F6138">
        <w:rPr>
          <w:rFonts w:cs="Times New Roman"/>
          <w:b/>
          <w:color w:val="000000" w:themeColor="text1"/>
          <w:szCs w:val="36"/>
        </w:rPr>
        <w:t xml:space="preserve">AN ACT </w:t>
      </w:r>
      <w:r w:rsidRPr="005F6138">
        <w:rPr>
          <w:rFonts w:cs="Times New Roman"/>
          <w:b/>
        </w:rPr>
        <w:t>TO AMEND SECTION 11</w:t>
      </w:r>
      <w:r w:rsidRPr="005F6138">
        <w:rPr>
          <w:rFonts w:cs="Times New Roman"/>
          <w:b/>
        </w:rPr>
        <w:noBreakHyphen/>
        <w:t>11</w:t>
      </w:r>
      <w:r w:rsidRPr="005F6138">
        <w:rPr>
          <w:rFonts w:cs="Times New Roman"/>
          <w:b/>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5F6138">
        <w:rPr>
          <w:rFonts w:cs="Times New Roman"/>
          <w:b/>
        </w:rPr>
        <w:noBreakHyphen/>
        <w:t>HALF OF ONE PERCENT OF GENERAL FUND REVENUE OF THE LATEST COMPLETED FISCAL YEAR UNTIL IT EQUALS SEVEN PERCENT OF SUCH REVENUES; TO AMEND SECTION 11</w:t>
      </w:r>
      <w:r w:rsidRPr="005F6138">
        <w:rPr>
          <w:rFonts w:cs="Times New Roman"/>
          <w:b/>
        </w:rPr>
        <w:noBreakHyphen/>
        <w:t>11</w:t>
      </w:r>
      <w:r w:rsidRPr="005F6138">
        <w:rPr>
          <w:rFonts w:cs="Times New Roman"/>
          <w:b/>
        </w:rPr>
        <w:noBreakHyphen/>
        <w:t>320, RELATING TO THE STATUTORY CAPITAL RESERVE FUND OF TWO PERCENT OF GENERAL FUND REVENUE OF THE LATEST COMPLETED FISCAL YEAR, SO AS TO INCREASE IT TO THREE PERCENT OF GENERAL FUND REVENUE OF THE LATEST COMPLETED FISCAL YEAR AND</w:t>
      </w:r>
      <w:r w:rsidRPr="005F6138">
        <w:rPr>
          <w:rFonts w:cs="Times New Roman"/>
          <w:b/>
          <w:color w:val="000000" w:themeColor="text1"/>
          <w:u w:color="000000" w:themeColor="text1"/>
        </w:rPr>
        <w:t xml:space="preserve"> TO PROVIDE THAT THE FIRST USE OF THE CAPITAL RESERVE FUND MUST BE TO OFFSET MIDYEAR BUDGET REDUCTIONS</w:t>
      </w:r>
      <w:r w:rsidRPr="005F6138">
        <w:rPr>
          <w:rFonts w:cs="Times New Roman"/>
          <w:b/>
        </w:rPr>
        <w:t>; BY ADDING SECTION 11</w:t>
      </w:r>
      <w:r w:rsidRPr="005F6138">
        <w:rPr>
          <w:rFonts w:cs="Times New Roman"/>
          <w:b/>
        </w:rPr>
        <w:noBreakHyphen/>
        <w:t>11</w:t>
      </w:r>
      <w:r w:rsidRPr="005F6138">
        <w:rPr>
          <w:rFonts w:cs="Times New Roman"/>
          <w:b/>
        </w:rPr>
        <w:noBreakHyphen/>
        <w:t>325 SO AS TO REQUIRE THE CAPITAL RESERVE FUND BE REDUCED BEFORE MIDYEAR BUDGET REDUCTIONS ARE MADE; TO AMEND SECTION 11</w:t>
      </w:r>
      <w:r w:rsidRPr="005F6138">
        <w:rPr>
          <w:rFonts w:cs="Times New Roman"/>
          <w:b/>
        </w:rPr>
        <w:noBreakHyphen/>
        <w:t>9</w:t>
      </w:r>
      <w:r w:rsidRPr="005F6138">
        <w:rPr>
          <w:rFonts w:cs="Times New Roman"/>
          <w:b/>
        </w:rPr>
        <w:noBreakHyphen/>
        <w:t>1140, RELATING TO THE REDUCTION OF GENERAL FUND APPROPRIATIONS, SO AS TO MAKE A CONFORMING CHANGE; AND TO PROVIDE THAT THE ABOVE PROVISIONS TAKE EFFECT UPON RATIFICATION OF AMENDMENTS TO SECTION 36, ARTICLE III OF THE CONSTITUTION OF THIS STATE PROVIDING FOR THE ABOVE.</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0" w:name="titleend"/>
      <w:bookmarkEnd w:id="0"/>
      <w:r w:rsidRPr="00790DAE">
        <w:rPr>
          <w:rFonts w:cs="Times New Roman"/>
        </w:rPr>
        <w:tab/>
      </w:r>
    </w:p>
    <w:p w:rsidR="00EA3BF5"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Be it enacted by the General Assembly of the State of South Carolina:</w:t>
      </w:r>
    </w:p>
    <w:p w:rsidR="00EA3BF5"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E942F4"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General Reserve Fund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SECTION</w:t>
      </w:r>
      <w:r w:rsidRPr="00790DAE">
        <w:rPr>
          <w:rFonts w:cs="Times New Roman"/>
        </w:rPr>
        <w:tab/>
        <w:t>1.</w:t>
      </w:r>
      <w:r w:rsidRPr="00790DAE">
        <w:rPr>
          <w:rFonts w:cs="Times New Roman"/>
        </w:rPr>
        <w:tab/>
        <w:t>Section 11</w:t>
      </w:r>
      <w:r>
        <w:rPr>
          <w:rFonts w:cs="Times New Roman"/>
        </w:rPr>
        <w:noBreakHyphen/>
      </w:r>
      <w:r w:rsidRPr="00790DAE">
        <w:rPr>
          <w:rFonts w:cs="Times New Roman"/>
        </w:rPr>
        <w:t>11</w:t>
      </w:r>
      <w:r>
        <w:rPr>
          <w:rFonts w:cs="Times New Roman"/>
        </w:rPr>
        <w:noBreakHyphen/>
      </w:r>
      <w:r w:rsidRPr="00790DAE">
        <w:rPr>
          <w:rFonts w:cs="Times New Roman"/>
        </w:rPr>
        <w:t>310 of the 1976 Code is amended to read: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t>“Section 11</w:t>
      </w:r>
      <w:r>
        <w:rPr>
          <w:rFonts w:cs="Times New Roman"/>
        </w:rPr>
        <w:noBreakHyphen/>
      </w:r>
      <w:r w:rsidRPr="00790DAE">
        <w:rPr>
          <w:rFonts w:cs="Times New Roman"/>
        </w:rPr>
        <w:t>11</w:t>
      </w:r>
      <w:r>
        <w:rPr>
          <w:rFonts w:cs="Times New Roman"/>
        </w:rPr>
        <w:noBreakHyphen/>
      </w:r>
      <w:r w:rsidRPr="00790DAE">
        <w:rPr>
          <w:rFonts w:cs="Times New Roman"/>
        </w:rPr>
        <w:t>310.</w:t>
      </w:r>
      <w:r w:rsidRPr="00790DAE">
        <w:rPr>
          <w:rFonts w:cs="Times New Roman"/>
        </w:rPr>
        <w:tab/>
        <w:t>(A)</w:t>
      </w:r>
      <w:r w:rsidRPr="00790DAE">
        <w:rPr>
          <w:rFonts w:cs="Times New Roman"/>
        </w:rPr>
        <w:tab/>
        <w:t>The State Fiscal Accountability Authority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lastRenderedPageBreak/>
        <w:tab/>
        <w:t>(B)</w:t>
      </w:r>
      <w:r w:rsidRPr="00790DAE">
        <w:rPr>
          <w:rFonts w:cs="Times New Roman"/>
        </w:rPr>
        <w:tab/>
        <w:t>If there is a year</w:t>
      </w:r>
      <w:r>
        <w:rPr>
          <w:rFonts w:cs="Times New Roman"/>
        </w:rPr>
        <w:noBreakHyphen/>
      </w:r>
      <w:r w:rsidRPr="00790DAE">
        <w:rPr>
          <w:rFonts w:cs="Times New Roman"/>
        </w:rPr>
        <w:t>end operating deficit, so much of the General Reserve Fund as is necessary must be used to cover the deficit. The amount so applied must be restored to the General Reserve Fund out of future revenues as provided in Section 36, Article III of the Constitution of this State and out of funds accumulating in excess of annual operating expenditures as provided in this section until the applicable percentage amount is reached and actually maintained.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t>(C)</w:t>
      </w:r>
      <w:r w:rsidRPr="00790DAE">
        <w:rPr>
          <w:rFonts w:cs="Times New Roman"/>
        </w:rPr>
        <w:tab/>
        <w:t>In the event of a year</w:t>
      </w:r>
      <w:r>
        <w:rPr>
          <w:rFonts w:cs="Times New Roman"/>
        </w:rPr>
        <w:noBreakHyphen/>
      </w:r>
      <w:r w:rsidRPr="00790DAE">
        <w:rPr>
          <w:rFonts w:cs="Times New Roman"/>
        </w:rPr>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w:t>
      </w:r>
      <w:r>
        <w:rPr>
          <w:rFonts w:cs="Times New Roman"/>
        </w:rPr>
        <w:t>,</w:t>
      </w:r>
      <w:r w:rsidRPr="00790DAE">
        <w:rPr>
          <w:rFonts w:cs="Times New Roman"/>
        </w:rPr>
        <w:t xml:space="preserve"> is restored.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t>(D)</w:t>
      </w:r>
      <w:r w:rsidRPr="00790DAE">
        <w:rPr>
          <w:rFonts w:cs="Times New Roman"/>
        </w:rPr>
        <w:tab/>
        <w:t xml:space="preserve">For purposes of this section </w:t>
      </w:r>
      <w:r>
        <w:rPr>
          <w:rFonts w:cs="Times New Roman"/>
        </w:rPr>
        <w:t>‘</w:t>
      </w:r>
      <w:r w:rsidRPr="00790DAE">
        <w:rPr>
          <w:rFonts w:cs="Times New Roman"/>
        </w:rPr>
        <w:t>applicable percentage amount</w:t>
      </w:r>
      <w:r>
        <w:rPr>
          <w:rFonts w:cs="Times New Roman"/>
        </w:rPr>
        <w:t>’</w:t>
      </w:r>
      <w:r w:rsidRPr="00790DAE">
        <w:rPr>
          <w:rFonts w:cs="Times New Roman"/>
        </w:rPr>
        <w:t xml:space="preserve"> means seven percent of general fund revenue of the latest completed fiscal year. The seven percent requirement shall be reached by adding a cumulative one</w:t>
      </w:r>
      <w:r>
        <w:rPr>
          <w:rFonts w:cs="Times New Roman"/>
        </w:rPr>
        <w:noBreakHyphen/>
      </w:r>
      <w:r w:rsidRPr="00790DAE">
        <w:rPr>
          <w:rFonts w:cs="Times New Roman"/>
        </w:rPr>
        <w:t>half of one percent of such revenue in each fiscal year succeeding the last fiscal year to which the five percent limit applied until the percentage of such revenue equals seven percent which then and thereafter shall apply.”</w:t>
      </w:r>
    </w:p>
    <w:p w:rsidR="00EA3BF5"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E942F4"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942F4">
        <w:rPr>
          <w:rFonts w:cs="Times New Roman"/>
          <w:b/>
        </w:rPr>
        <w:t>Capital Reserve Fund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sidRPr="00790DAE">
        <w:rPr>
          <w:rFonts w:cs="Times New Roman"/>
        </w:rPr>
        <w:tab/>
        <w:t>A.</w:t>
      </w:r>
      <w:r>
        <w:rPr>
          <w:rFonts w:cs="Times New Roman"/>
        </w:rPr>
        <w:t xml:space="preserve"> </w:t>
      </w:r>
      <w:r w:rsidRPr="00790DAE">
        <w:rPr>
          <w:rFonts w:cs="Times New Roman"/>
        </w:rPr>
        <w:tab/>
        <w:t>Section 11</w:t>
      </w:r>
      <w:r>
        <w:rPr>
          <w:rFonts w:cs="Times New Roman"/>
        </w:rPr>
        <w:noBreakHyphen/>
      </w:r>
      <w:r w:rsidRPr="00790DAE">
        <w:rPr>
          <w:rFonts w:cs="Times New Roman"/>
        </w:rPr>
        <w:t>11</w:t>
      </w:r>
      <w:r>
        <w:rPr>
          <w:rFonts w:cs="Times New Roman"/>
        </w:rPr>
        <w:noBreakHyphen/>
      </w:r>
      <w:r w:rsidRPr="00790DAE">
        <w:rPr>
          <w:rFonts w:cs="Times New Roman"/>
        </w:rPr>
        <w:t>320 of the 1976 Code is amended to read: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t>“Section 11</w:t>
      </w:r>
      <w:r>
        <w:rPr>
          <w:rFonts w:cs="Times New Roman"/>
        </w:rPr>
        <w:noBreakHyphen/>
      </w:r>
      <w:r w:rsidRPr="00790DAE">
        <w:rPr>
          <w:rFonts w:cs="Times New Roman"/>
        </w:rPr>
        <w:t>11</w:t>
      </w:r>
      <w:r>
        <w:rPr>
          <w:rFonts w:cs="Times New Roman"/>
        </w:rPr>
        <w:noBreakHyphen/>
      </w:r>
      <w:r w:rsidRPr="00790DAE">
        <w:rPr>
          <w:rFonts w:cs="Times New Roman"/>
        </w:rPr>
        <w:t>320.</w:t>
      </w:r>
      <w:r w:rsidRPr="00790DAE">
        <w:rPr>
          <w:rFonts w:cs="Times New Roman"/>
        </w:rPr>
        <w:tab/>
        <w:t>(A)</w:t>
      </w:r>
      <w:r w:rsidRPr="00790DAE">
        <w:rPr>
          <w:rFonts w:cs="Times New Roman"/>
        </w:rPr>
        <w:tab/>
        <w:t>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three percent of the general fund revenue of the latest completed fiscal year.</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t>(B)</w:t>
      </w:r>
      <w:r w:rsidRPr="00790DAE">
        <w:rPr>
          <w:rFonts w:cs="Times New Roman"/>
        </w:rPr>
        <w:tab/>
        <w:t>This appropriation must be contained in the Ways and Means Committee report on the general appropriations bill, the general appropriations bill at the time of third reading in the House of Representatives, the Senate Finance Committee report on the general appropriations bill, the general appropriations bill at the time of a third reading in the Senate, and in any conference report on the general appropriations bill.</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lastRenderedPageBreak/>
        <w:tab/>
        <w:t>(C)</w:t>
      </w:r>
      <w:r w:rsidRPr="00790DAE">
        <w:rPr>
          <w:rFonts w:cs="Times New Roman"/>
        </w:rPr>
        <w:tab/>
        <w:t>Revenues in the Capital Reserve Fund only may be used in the following manner:</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r>
      <w:r w:rsidRPr="00790DAE">
        <w:rPr>
          <w:rFonts w:cs="Times New Roman"/>
        </w:rPr>
        <w:tab/>
        <w:t>(1)</w:t>
      </w:r>
      <w:r w:rsidRPr="00790DAE">
        <w:rPr>
          <w:rFonts w:cs="Times New Roman"/>
        </w:rPr>
        <w:tab/>
      </w:r>
      <w:r w:rsidRPr="00790DAE">
        <w:rPr>
          <w:rFonts w:cs="Times New Roman"/>
          <w:color w:val="000000"/>
        </w:rPr>
        <w:t>If, before March first, the Board of Economic Advisors</w:t>
      </w:r>
      <w:r>
        <w:rPr>
          <w:rFonts w:cs="Times New Roman"/>
          <w:color w:val="000000"/>
        </w:rPr>
        <w:t>’</w:t>
      </w:r>
      <w:r w:rsidRPr="00790DAE">
        <w:rPr>
          <w:rFonts w:cs="Times New Roman"/>
          <w:color w:val="000000"/>
        </w:rPr>
        <w:t xml:space="preserve"> revenue forecast for the current fiscal year projects that revenues at the end of the fiscal year will be less than expenditures authorized by appropriations for that year, then the current year</w:t>
      </w:r>
      <w:r>
        <w:rPr>
          <w:rFonts w:cs="Times New Roman"/>
          <w:color w:val="000000"/>
        </w:rPr>
        <w:t>’</w:t>
      </w:r>
      <w:r w:rsidRPr="00790DAE">
        <w:rPr>
          <w:rFonts w:cs="Times New Roman"/>
          <w:color w:val="000000"/>
        </w:rPr>
        <w:t>s appropriation to the Capital Reserve Fund first must be reduced by the Executive Budget Office to the extent necessary before mandating any reductions in operating appropriations</w:t>
      </w:r>
      <w:r w:rsidRPr="00790DAE">
        <w:rPr>
          <w:rFonts w:cs="Times New Roman"/>
        </w:rPr>
        <w:t>.</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r>
      <w:r w:rsidRPr="00790DAE">
        <w:rPr>
          <w:rFonts w:cs="Times New Roman"/>
        </w:rPr>
        <w:tab/>
        <w:t>(2)</w:t>
      </w:r>
      <w:r w:rsidRPr="00790DAE">
        <w:rPr>
          <w:rFonts w:cs="Times New Roman"/>
        </w:rPr>
        <w:tab/>
        <w:t>After March first of a fiscal year, monies from the Capital Reserve Fund may be appropriated by the General Assembly in separate legislation upon an affirmative vote in each branch of the General Assembly by two</w:t>
      </w:r>
      <w:r>
        <w:rPr>
          <w:rFonts w:cs="Times New Roman"/>
        </w:rPr>
        <w:noBreakHyphen/>
      </w:r>
      <w:r w:rsidRPr="00790DAE">
        <w:rPr>
          <w:rFonts w:cs="Times New Roman"/>
        </w:rPr>
        <w:t>thirds of the members present and voting but not less than three</w:t>
      </w:r>
      <w:r>
        <w:rPr>
          <w:rFonts w:cs="Times New Roman"/>
        </w:rPr>
        <w:noBreakHyphen/>
      </w:r>
      <w:r w:rsidRPr="00790DAE">
        <w:rPr>
          <w:rFonts w:cs="Times New Roman"/>
        </w:rPr>
        <w:t>fifths of the total membership in each branch for the following purposes:</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r>
      <w:r w:rsidRPr="00790DAE">
        <w:rPr>
          <w:rFonts w:cs="Times New Roman"/>
        </w:rPr>
        <w:tab/>
      </w:r>
      <w:r w:rsidRPr="00790DAE">
        <w:rPr>
          <w:rFonts w:cs="Times New Roman"/>
        </w:rPr>
        <w:tab/>
        <w:t>(a)</w:t>
      </w:r>
      <w:r w:rsidRPr="00790DAE">
        <w:rPr>
          <w:rFonts w:cs="Times New Roman"/>
        </w:rPr>
        <w:tab/>
        <w:t>to finance in cash previously authorized capital improvement bond projects;</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r>
      <w:r w:rsidRPr="00790DAE">
        <w:rPr>
          <w:rFonts w:cs="Times New Roman"/>
        </w:rPr>
        <w:tab/>
      </w:r>
      <w:r w:rsidRPr="00790DAE">
        <w:rPr>
          <w:rFonts w:cs="Times New Roman"/>
        </w:rPr>
        <w:tab/>
        <w:t>(b)</w:t>
      </w:r>
      <w:r w:rsidRPr="00790DAE">
        <w:rPr>
          <w:rFonts w:cs="Times New Roman"/>
        </w:rPr>
        <w:tab/>
        <w:t>to retire interest or principal on bonds previously issued;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r>
      <w:r w:rsidRPr="00790DAE">
        <w:rPr>
          <w:rFonts w:cs="Times New Roman"/>
        </w:rPr>
        <w:tab/>
      </w:r>
      <w:r w:rsidRPr="00790DAE">
        <w:rPr>
          <w:rFonts w:cs="Times New Roman"/>
        </w:rPr>
        <w:tab/>
        <w:t>(c)</w:t>
      </w:r>
      <w:r w:rsidRPr="00790DAE">
        <w:rPr>
          <w:rFonts w:cs="Times New Roman"/>
        </w:rPr>
        <w:tab/>
        <w:t>for capital improvements or other nonrecurring purposes.</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t>(D)(1)</w:t>
      </w:r>
      <w:r w:rsidRPr="00790DAE">
        <w:rPr>
          <w:rFonts w:cs="Times New Roman"/>
        </w:rPr>
        <w:tab/>
        <w:t>Any appropriation of monies from the Capital Reserve Fund as provided in subsection (C) of this section must be ranked in priority of expenditure and is effective on September first of the following fiscal year. If it is determined that the fiscal year has ended with an operating deficit, then the monies appropriated from the Capital Reserve Fund must be reduced by the State Budget and Control Board based on the rank of priority, beginning with the lowest priority, to the extent necessary and applied by the board to the year</w:t>
      </w:r>
      <w:r>
        <w:rPr>
          <w:rFonts w:cs="Times New Roman"/>
        </w:rPr>
        <w:noBreakHyphen/>
      </w:r>
      <w:r w:rsidRPr="00790DAE">
        <w:rPr>
          <w:rFonts w:cs="Times New Roman"/>
        </w:rPr>
        <w:t>end operating deficit before withdrawing monies from the General Reserve Fund.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r>
      <w:r w:rsidRPr="00790DAE">
        <w:rPr>
          <w:rFonts w:cs="Times New Roman"/>
        </w:rPr>
        <w:tab/>
        <w:t>(2)</w:t>
      </w:r>
      <w:r w:rsidRPr="00790DAE">
        <w:rPr>
          <w:rFonts w:cs="Times New Roman"/>
        </w:rPr>
        <w:tab/>
        <w:t>At the end of the fiscal year, any monies in the Capital Reserve Fund that are not appropriated as provided in subsection (C) of this section or any appropriation for a particular project or item which has been reduced due to application of the monies to a year</w:t>
      </w:r>
      <w:r>
        <w:rPr>
          <w:rFonts w:cs="Times New Roman"/>
        </w:rPr>
        <w:noBreakHyphen/>
      </w:r>
      <w:r w:rsidRPr="00790DAE">
        <w:rPr>
          <w:rFonts w:cs="Times New Roman"/>
        </w:rPr>
        <w:t>end deficit must lapse and be credited to the general fund.”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790DAE">
        <w:rPr>
          <w:rFonts w:cs="Times New Roman"/>
        </w:rPr>
        <w:t>B.</w:t>
      </w:r>
      <w:r w:rsidRPr="00790DAE">
        <w:rPr>
          <w:rFonts w:cs="Times New Roman"/>
        </w:rPr>
        <w:tab/>
      </w:r>
      <w:r w:rsidRPr="00790DAE">
        <w:rPr>
          <w:rFonts w:cs="Times New Roman"/>
        </w:rPr>
        <w:tab/>
      </w:r>
      <w:r w:rsidRPr="00790DAE">
        <w:rPr>
          <w:rFonts w:cs="Times New Roman"/>
          <w:lang w:val="en-PH"/>
        </w:rPr>
        <w:t>Article 3, Chapter 11, Title 11 of the 1976 Code is amended by adding:</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lang w:val="en-PH"/>
        </w:rPr>
        <w:tab/>
        <w:t>“Section 11</w:t>
      </w:r>
      <w:r>
        <w:rPr>
          <w:rFonts w:cs="Times New Roman"/>
          <w:lang w:val="en-PH"/>
        </w:rPr>
        <w:noBreakHyphen/>
      </w:r>
      <w:r w:rsidRPr="00790DAE">
        <w:rPr>
          <w:rFonts w:cs="Times New Roman"/>
          <w:lang w:val="en-PH"/>
        </w:rPr>
        <w:t>11</w:t>
      </w:r>
      <w:r>
        <w:rPr>
          <w:rFonts w:cs="Times New Roman"/>
          <w:lang w:val="en-PH"/>
        </w:rPr>
        <w:noBreakHyphen/>
      </w:r>
      <w:r w:rsidRPr="00790DAE">
        <w:rPr>
          <w:rFonts w:cs="Times New Roman"/>
          <w:lang w:val="en-PH"/>
        </w:rPr>
        <w:t>325. At any time during the current fiscal year, i</w:t>
      </w:r>
      <w:r w:rsidRPr="00790DAE">
        <w:rPr>
          <w:rFonts w:cs="Times New Roman"/>
        </w:rPr>
        <w:t>f the Board of Economic Advisors</w:t>
      </w:r>
      <w:r>
        <w:rPr>
          <w:rFonts w:cs="Times New Roman"/>
        </w:rPr>
        <w:t>’</w:t>
      </w:r>
      <w:r w:rsidRPr="00790DAE">
        <w:rPr>
          <w:rFonts w:cs="Times New Roman"/>
        </w:rPr>
        <w:t xml:space="preserve"> revenue forecast projects that revenues for the current fiscal year will be less than appropriated expenditures for this year, the Director of the Executive Budget Office in mandating necessary cuts during the current fiscal year to eliminate the projected deficit must </w:t>
      </w:r>
      <w:r w:rsidRPr="00790DAE">
        <w:rPr>
          <w:rFonts w:cs="Times New Roman"/>
        </w:rPr>
        <w:lastRenderedPageBreak/>
        <w:t>first reduce to the extent necessary the appropriation to the Capital Reserve Fund, prior to mandating any cuts in operating appropriation.”</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C.</w:t>
      </w:r>
      <w:r w:rsidRPr="00790DAE">
        <w:rPr>
          <w:rFonts w:cs="Times New Roman"/>
        </w:rPr>
        <w:tab/>
      </w:r>
      <w:r w:rsidRPr="00790DAE">
        <w:rPr>
          <w:rFonts w:cs="Times New Roman"/>
        </w:rPr>
        <w:tab/>
        <w:t>Section 11</w:t>
      </w:r>
      <w:r>
        <w:rPr>
          <w:rFonts w:cs="Times New Roman"/>
        </w:rPr>
        <w:noBreakHyphen/>
      </w:r>
      <w:r w:rsidRPr="00790DAE">
        <w:rPr>
          <w:rFonts w:cs="Times New Roman"/>
        </w:rPr>
        <w:t>9</w:t>
      </w:r>
      <w:r>
        <w:rPr>
          <w:rFonts w:cs="Times New Roman"/>
        </w:rPr>
        <w:noBreakHyphen/>
      </w:r>
      <w:r w:rsidRPr="00790DAE">
        <w:rPr>
          <w:rFonts w:cs="Times New Roman"/>
        </w:rPr>
        <w:t>1140(B)(1) of the 1976 Code is amended to read:</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ab/>
        <w:t>“(1)</w:t>
      </w:r>
      <w:r w:rsidRPr="00790DAE">
        <w:rPr>
          <w:rFonts w:cs="Times New Roman"/>
        </w:rPr>
        <w:tab/>
        <w:t>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after reducing the appropriation to the Capital Reserve Fund pursuant to Section 11</w:t>
      </w:r>
      <w:r>
        <w:rPr>
          <w:rFonts w:cs="Times New Roman"/>
        </w:rPr>
        <w:noBreakHyphen/>
      </w:r>
      <w:r w:rsidRPr="00790DAE">
        <w:rPr>
          <w:rFonts w:cs="Times New Roman"/>
        </w:rPr>
        <w:t>11</w:t>
      </w:r>
      <w:r>
        <w:rPr>
          <w:rFonts w:cs="Times New Roman"/>
        </w:rPr>
        <w:noBreakHyphen/>
      </w:r>
      <w:r w:rsidRPr="00790DAE">
        <w:rPr>
          <w:rFonts w:cs="Times New Roman"/>
        </w:rPr>
        <w:t>325,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EA3BF5"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E942F4"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942F4">
        <w:rPr>
          <w:rFonts w:cs="Times New Roman"/>
          <w:b/>
        </w:rPr>
        <w:t>Time effective</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0DAE">
        <w:rPr>
          <w:rFonts w:cs="Times New Roman"/>
        </w:rPr>
        <w:t>SECTION</w:t>
      </w:r>
      <w:r w:rsidRPr="00790DAE">
        <w:rPr>
          <w:rFonts w:cs="Times New Roman"/>
        </w:rPr>
        <w:tab/>
        <w:t>3.</w:t>
      </w:r>
      <w:r w:rsidRPr="00790DAE">
        <w:rPr>
          <w:rFonts w:cs="Times New Roman"/>
        </w:rPr>
        <w:tab/>
        <w:t>(A)</w:t>
      </w:r>
      <w:r w:rsidRPr="00790DAE">
        <w:rPr>
          <w:rFonts w:cs="Times New Roman"/>
        </w:rPr>
        <w:tab/>
      </w:r>
      <w:r w:rsidRPr="00790DAE">
        <w:rPr>
          <w:rFonts w:eastAsia="Calibri" w:cs="Times New Roman"/>
        </w:rPr>
        <w:t>The provisions of SECTION 1 of this act take effect upon the ratification of an amendment to Section 36(A), Article III of the Constitution of this State raising the general reserve fund from five percent of general fund revenue of the latest completed fiscal year to seven percent of such revenues in the manner provided in the section and first applies to the state fiscal year beginning thereafter.</w:t>
      </w:r>
    </w:p>
    <w:p w:rsidR="00EA3BF5" w:rsidRPr="00790DAE"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90DAE">
        <w:rPr>
          <w:rFonts w:cs="Times New Roman"/>
        </w:rPr>
        <w:tab/>
        <w:t>(B)</w:t>
      </w:r>
      <w:r w:rsidRPr="00790DAE">
        <w:rPr>
          <w:rFonts w:cs="Times New Roman"/>
        </w:rPr>
        <w:tab/>
      </w:r>
      <w:r w:rsidRPr="00790DAE">
        <w:rPr>
          <w:rFonts w:eastAsia="Calibri" w:cs="Times New Roman"/>
        </w:rPr>
        <w:t>The provisions of SECTION 2 of this act take effect upon the ratification of an amendment to Section 36(B), Article III of the Constitution of this State to allow the Capital Reserve Fund to be used first to offset midyear budget reductions and raising the Capital Reserve Fund from two percent of the general fund revenue of the latest completed fiscal year to three percent of such revenues and first applies to the state fiscal year beginning thereafter.</w:t>
      </w:r>
    </w:p>
    <w:p w:rsidR="00EA3BF5"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A3BF5" w:rsidRDefault="00EA3BF5"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16</w:t>
      </w:r>
      <w:r>
        <w:rPr>
          <w:color w:val="000000" w:themeColor="text1"/>
          <w:vertAlign w:val="superscript"/>
        </w:rPr>
        <w:t>th</w:t>
      </w:r>
      <w:r>
        <w:rPr>
          <w:color w:val="000000" w:themeColor="text1"/>
        </w:rPr>
        <w:t xml:space="preserve"> day of June, 2022.</w:t>
      </w:r>
    </w:p>
    <w:p w:rsidR="00EA3BF5" w:rsidRDefault="00EA3BF5" w:rsidP="00EA3BF5">
      <w:pPr>
        <w:jc w:val="both"/>
        <w:rPr>
          <w:color w:val="000000" w:themeColor="text1"/>
        </w:rPr>
      </w:pPr>
    </w:p>
    <w:p w:rsidR="00EA3BF5" w:rsidRDefault="00EA3BF5" w:rsidP="00EA3BF5">
      <w:pPr>
        <w:jc w:val="both"/>
        <w:rPr>
          <w:color w:val="000000" w:themeColor="text1"/>
        </w:rPr>
      </w:pPr>
      <w:r>
        <w:rPr>
          <w:color w:val="000000" w:themeColor="text1"/>
        </w:rPr>
        <w:t>Approved the 22</w:t>
      </w:r>
      <w:r w:rsidRPr="00CA16DD">
        <w:rPr>
          <w:color w:val="000000" w:themeColor="text1"/>
          <w:vertAlign w:val="superscript"/>
        </w:rPr>
        <w:t>nd</w:t>
      </w:r>
      <w:r>
        <w:rPr>
          <w:color w:val="000000" w:themeColor="text1"/>
        </w:rPr>
        <w:t xml:space="preserve"> day of June, 2022. </w:t>
      </w:r>
    </w:p>
    <w:p w:rsidR="00EA3BF5" w:rsidRDefault="00EA3BF5" w:rsidP="00EA3BF5">
      <w:pPr>
        <w:jc w:val="center"/>
        <w:rPr>
          <w:color w:val="000000" w:themeColor="text1"/>
        </w:rPr>
      </w:pPr>
    </w:p>
    <w:p w:rsidR="00EA3BF5" w:rsidRDefault="00EA3BF5" w:rsidP="00EA3BF5">
      <w:pPr>
        <w:jc w:val="center"/>
        <w:rPr>
          <w:color w:val="000000" w:themeColor="text1"/>
        </w:rPr>
      </w:pPr>
      <w:r>
        <w:rPr>
          <w:color w:val="000000" w:themeColor="text1"/>
        </w:rPr>
        <w:t>__________</w:t>
      </w:r>
    </w:p>
    <w:p w:rsidR="005F6138" w:rsidRDefault="005F6138" w:rsidP="00EA3B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F6138" w:rsidSect="005F6138">
      <w:footerReference w:type="default" r:id="rId47"/>
      <w:footerReference w:type="first" r:id="rId4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78FF" w:rsidRDefault="006278FF" w:rsidP="007D5FAC">
      <w:r>
        <w:separator/>
      </w:r>
    </w:p>
  </w:endnote>
  <w:endnote w:type="continuationSeparator" w:id="0">
    <w:p w:rsidR="006278FF" w:rsidRDefault="006278F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138" w:rsidRPr="005F6138" w:rsidRDefault="005F6138" w:rsidP="005F613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F1AA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138" w:rsidRDefault="005F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78FF" w:rsidRDefault="006278FF" w:rsidP="007D5FAC">
      <w:r>
        <w:separator/>
      </w:r>
    </w:p>
  </w:footnote>
  <w:footnote w:type="continuationSeparator" w:id="0">
    <w:p w:rsidR="006278FF" w:rsidRDefault="006278F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Good"/>
    <w:docVar w:name="ActBillNo" w:val="3346"/>
    <w:docVar w:name="ActSecretary" w:val="Charlton"/>
    <w:docVar w:name="ActSIdno" w:val="(215)  3346DG22"/>
    <w:docVar w:name="clipname" w:val="3346DG22"/>
    <w:docVar w:name="dvBillNumber" w:val="3346"/>
    <w:docVar w:name="dvBillNumberPrefix" w:val="H"/>
    <w:docVar w:name="dvOriginalBody" w:val="House"/>
    <w:docVar w:name="HOUSEACTFULLPATH" w:val="L:\COUNCIL\ACTS\3346DG22.DOCX"/>
    <w:docVar w:name="OrigHOUSEBillNo" w:val="3346"/>
    <w:docVar w:name="WhatActtype" w:val="AN ACT"/>
  </w:docVars>
  <w:rsids>
    <w:rsidRoot w:val="006278FF"/>
    <w:rsid w:val="00002DE0"/>
    <w:rsid w:val="00016386"/>
    <w:rsid w:val="00020349"/>
    <w:rsid w:val="00020977"/>
    <w:rsid w:val="00021B0B"/>
    <w:rsid w:val="00040C05"/>
    <w:rsid w:val="0004579B"/>
    <w:rsid w:val="00051B4F"/>
    <w:rsid w:val="000559FE"/>
    <w:rsid w:val="00060E60"/>
    <w:rsid w:val="000673E4"/>
    <w:rsid w:val="0007088D"/>
    <w:rsid w:val="000731E9"/>
    <w:rsid w:val="00074565"/>
    <w:rsid w:val="00076A1A"/>
    <w:rsid w:val="00077DA3"/>
    <w:rsid w:val="00081300"/>
    <w:rsid w:val="00085C37"/>
    <w:rsid w:val="00092EE6"/>
    <w:rsid w:val="00096A9B"/>
    <w:rsid w:val="00096BDA"/>
    <w:rsid w:val="000A0F50"/>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3B0"/>
    <w:rsid w:val="001626DB"/>
    <w:rsid w:val="00164D89"/>
    <w:rsid w:val="00170F30"/>
    <w:rsid w:val="00172771"/>
    <w:rsid w:val="001747A9"/>
    <w:rsid w:val="001750EA"/>
    <w:rsid w:val="001754BB"/>
    <w:rsid w:val="0018353C"/>
    <w:rsid w:val="00195F4E"/>
    <w:rsid w:val="001A51DE"/>
    <w:rsid w:val="001A646B"/>
    <w:rsid w:val="001A66F7"/>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394"/>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536C"/>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2DD0"/>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3B1B"/>
    <w:rsid w:val="004B402A"/>
    <w:rsid w:val="004B41E5"/>
    <w:rsid w:val="004B7DA0"/>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194"/>
    <w:rsid w:val="005D1FC6"/>
    <w:rsid w:val="005D50CE"/>
    <w:rsid w:val="005D5723"/>
    <w:rsid w:val="005D6054"/>
    <w:rsid w:val="005E07AD"/>
    <w:rsid w:val="005E143E"/>
    <w:rsid w:val="005E36AC"/>
    <w:rsid w:val="005F6138"/>
    <w:rsid w:val="005F79FF"/>
    <w:rsid w:val="00602ACC"/>
    <w:rsid w:val="006055BC"/>
    <w:rsid w:val="00605B6E"/>
    <w:rsid w:val="00605C15"/>
    <w:rsid w:val="0060700F"/>
    <w:rsid w:val="00612BB0"/>
    <w:rsid w:val="00616994"/>
    <w:rsid w:val="006236C9"/>
    <w:rsid w:val="00625487"/>
    <w:rsid w:val="00626F43"/>
    <w:rsid w:val="006278FF"/>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2732B"/>
    <w:rsid w:val="00733A16"/>
    <w:rsid w:val="00733C4C"/>
    <w:rsid w:val="00737039"/>
    <w:rsid w:val="007373C7"/>
    <w:rsid w:val="00740BEB"/>
    <w:rsid w:val="007469F9"/>
    <w:rsid w:val="0074783A"/>
    <w:rsid w:val="007514EF"/>
    <w:rsid w:val="00755770"/>
    <w:rsid w:val="00765D0A"/>
    <w:rsid w:val="007746C2"/>
    <w:rsid w:val="0077597C"/>
    <w:rsid w:val="00775B87"/>
    <w:rsid w:val="00784A23"/>
    <w:rsid w:val="007946C3"/>
    <w:rsid w:val="007A44AD"/>
    <w:rsid w:val="007A4BCD"/>
    <w:rsid w:val="007A68D3"/>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17C9A"/>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3C94"/>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9F6AFC"/>
    <w:rsid w:val="00A03978"/>
    <w:rsid w:val="00A050C0"/>
    <w:rsid w:val="00A062DB"/>
    <w:rsid w:val="00A07F7B"/>
    <w:rsid w:val="00A14F94"/>
    <w:rsid w:val="00A226AA"/>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239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734"/>
    <w:rsid w:val="00B13981"/>
    <w:rsid w:val="00B26224"/>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3469"/>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5DF2"/>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4745"/>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7692B"/>
    <w:rsid w:val="00E9303D"/>
    <w:rsid w:val="00E942F4"/>
    <w:rsid w:val="00E97171"/>
    <w:rsid w:val="00EA2A3A"/>
    <w:rsid w:val="00EA3BF5"/>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0559"/>
    <w:rsid w:val="00F16F4D"/>
    <w:rsid w:val="00F178BC"/>
    <w:rsid w:val="00F21DD7"/>
    <w:rsid w:val="00F24361"/>
    <w:rsid w:val="00F25311"/>
    <w:rsid w:val="00F30608"/>
    <w:rsid w:val="00F30AAF"/>
    <w:rsid w:val="00F310E4"/>
    <w:rsid w:val="00F348D3"/>
    <w:rsid w:val="00F34BF1"/>
    <w:rsid w:val="00F430ED"/>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CD005B0-EFDC-470C-A1DE-96EDEFE5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F613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F6AF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F613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B7D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220217.docx" TargetMode="External"/><Relationship Id="rId18" Type="http://schemas.openxmlformats.org/officeDocument/2006/relationships/hyperlink" Target="file:///h:\sj\20220317.docx" TargetMode="External"/><Relationship Id="rId26" Type="http://schemas.openxmlformats.org/officeDocument/2006/relationships/hyperlink" Target="file:///h:\hj\20220510.docx" TargetMode="External"/><Relationship Id="rId39" Type="http://schemas.openxmlformats.org/officeDocument/2006/relationships/hyperlink" Target="file:///p:\pprever\2021-22\3346_20220210.docx" TargetMode="External"/><Relationship Id="rId3" Type="http://schemas.openxmlformats.org/officeDocument/2006/relationships/settings" Target="settings.xml"/><Relationship Id="rId21" Type="http://schemas.openxmlformats.org/officeDocument/2006/relationships/hyperlink" Target="file:///h:\hj\20220330.docx" TargetMode="External"/><Relationship Id="rId34" Type="http://schemas.openxmlformats.org/officeDocument/2006/relationships/hyperlink" Target="file:///h:\sj\20220615.docx" TargetMode="External"/><Relationship Id="rId42" Type="http://schemas.openxmlformats.org/officeDocument/2006/relationships/hyperlink" Target="file:///p:\pprever\2021-22\3346_20220315.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file:///h:\hj\20210112.docx" TargetMode="External"/><Relationship Id="rId12" Type="http://schemas.openxmlformats.org/officeDocument/2006/relationships/hyperlink" Target="file:///h:\hj\20220217.docx" TargetMode="External"/><Relationship Id="rId17" Type="http://schemas.openxmlformats.org/officeDocument/2006/relationships/hyperlink" Target="file:///h:\sj\20220317.docx" TargetMode="External"/><Relationship Id="rId25" Type="http://schemas.openxmlformats.org/officeDocument/2006/relationships/hyperlink" Target="file:///h:\hj\20220510.docx" TargetMode="External"/><Relationship Id="rId33" Type="http://schemas.openxmlformats.org/officeDocument/2006/relationships/hyperlink" Target="file:///h:\hj\20220615.docx" TargetMode="External"/><Relationship Id="rId38" Type="http://schemas.openxmlformats.org/officeDocument/2006/relationships/hyperlink" Target="file:///p:\pprever\2021-22\3346_20201209.docx" TargetMode="External"/><Relationship Id="rId46" Type="http://schemas.openxmlformats.org/officeDocument/2006/relationships/hyperlink" Target="file:///p:\pprever\2021-22\3346_20220615.docx" TargetMode="External"/><Relationship Id="rId2" Type="http://schemas.openxmlformats.org/officeDocument/2006/relationships/styles" Target="styles.xml"/><Relationship Id="rId16" Type="http://schemas.openxmlformats.org/officeDocument/2006/relationships/hyperlink" Target="file:///h:\sj\20220315.docx" TargetMode="External"/><Relationship Id="rId20" Type="http://schemas.openxmlformats.org/officeDocument/2006/relationships/hyperlink" Target="file:///h:\sj\20220322.docx" TargetMode="External"/><Relationship Id="rId29" Type="http://schemas.openxmlformats.org/officeDocument/2006/relationships/hyperlink" Target="file:///h:\sj\20220511.docx" TargetMode="External"/><Relationship Id="rId41" Type="http://schemas.openxmlformats.org/officeDocument/2006/relationships/hyperlink" Target="file:///p:\pprever\2021-22\3346_202203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16.docx" TargetMode="External"/><Relationship Id="rId24" Type="http://schemas.openxmlformats.org/officeDocument/2006/relationships/hyperlink" Target="file:///h:\hj\20220505.docx" TargetMode="External"/><Relationship Id="rId32" Type="http://schemas.openxmlformats.org/officeDocument/2006/relationships/hyperlink" Target="file:///h:\hj\20220615.docx" TargetMode="External"/><Relationship Id="rId37" Type="http://schemas.openxmlformats.org/officeDocument/2006/relationships/hyperlink" Target="http://www.scstatehouse.gov/billsearch.php?billnumbers=3346&amp;session=124&amp;summary=B" TargetMode="External"/><Relationship Id="rId40" Type="http://schemas.openxmlformats.org/officeDocument/2006/relationships/hyperlink" Target="file:///p:\pprever\2021-22\3346_20220309.docx" TargetMode="External"/><Relationship Id="rId45" Type="http://schemas.openxmlformats.org/officeDocument/2006/relationships/hyperlink" Target="file:///p:\pprever\2021-22\3346_20220510.docx" TargetMode="External"/><Relationship Id="rId5" Type="http://schemas.openxmlformats.org/officeDocument/2006/relationships/footnotes" Target="footnotes.xml"/><Relationship Id="rId15" Type="http://schemas.openxmlformats.org/officeDocument/2006/relationships/hyperlink" Target="file:///h:\sj\20220309.docx" TargetMode="External"/><Relationship Id="rId23" Type="http://schemas.openxmlformats.org/officeDocument/2006/relationships/hyperlink" Target="file:///h:\hj\20220504.docx" TargetMode="External"/><Relationship Id="rId28" Type="http://schemas.openxmlformats.org/officeDocument/2006/relationships/hyperlink" Target="file:///h:\sj\20220511.docx" TargetMode="External"/><Relationship Id="rId36" Type="http://schemas.openxmlformats.org/officeDocument/2006/relationships/hyperlink" Target="file:///h:\sj\20220615.docx" TargetMode="External"/><Relationship Id="rId49" Type="http://schemas.openxmlformats.org/officeDocument/2006/relationships/fontTable" Target="fontTable.xml"/><Relationship Id="rId10" Type="http://schemas.openxmlformats.org/officeDocument/2006/relationships/hyperlink" Target="file:///h:\hj\20220216.docx" TargetMode="External"/><Relationship Id="rId19" Type="http://schemas.openxmlformats.org/officeDocument/2006/relationships/hyperlink" Target="file:///h:\sj\20220317.docx" TargetMode="External"/><Relationship Id="rId31" Type="http://schemas.openxmlformats.org/officeDocument/2006/relationships/hyperlink" Target="file:///h:\sj\20220512.docx" TargetMode="External"/><Relationship Id="rId44" Type="http://schemas.openxmlformats.org/officeDocument/2006/relationships/hyperlink" Target="file:///p:\pprever\2021-22\3346_20220321.docx" TargetMode="External"/><Relationship Id="rId4" Type="http://schemas.openxmlformats.org/officeDocument/2006/relationships/webSettings" Target="webSettings.xml"/><Relationship Id="rId9" Type="http://schemas.openxmlformats.org/officeDocument/2006/relationships/hyperlink" Target="file:///h:\hj\20220210.docx" TargetMode="External"/><Relationship Id="rId14" Type="http://schemas.openxmlformats.org/officeDocument/2006/relationships/hyperlink" Target="file:///h:\sj\20220217.docx" TargetMode="External"/><Relationship Id="rId22" Type="http://schemas.openxmlformats.org/officeDocument/2006/relationships/hyperlink" Target="file:///h:\hj\20220331.docx" TargetMode="External"/><Relationship Id="rId27" Type="http://schemas.openxmlformats.org/officeDocument/2006/relationships/hyperlink" Target="file:///h:\hj\20220510.docx" TargetMode="External"/><Relationship Id="rId30" Type="http://schemas.openxmlformats.org/officeDocument/2006/relationships/hyperlink" Target="file:///h:\hj\20220511.docx" TargetMode="External"/><Relationship Id="rId35" Type="http://schemas.openxmlformats.org/officeDocument/2006/relationships/hyperlink" Target="file:///h:\sj\20220615.docx" TargetMode="External"/><Relationship Id="rId43" Type="http://schemas.openxmlformats.org/officeDocument/2006/relationships/hyperlink" Target="file:///p:\pprever\2021-22\3346_20220317.docx" TargetMode="External"/><Relationship Id="rId48" Type="http://schemas.openxmlformats.org/officeDocument/2006/relationships/footer" Target="footer2.xml"/><Relationship Id="rId8" Type="http://schemas.openxmlformats.org/officeDocument/2006/relationships/hyperlink" Target="file:///h:\hj\202101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A6BA-F676-45F0-8BE8-547196F5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3346: General Reserve Fund and Capital Reserve Fund - South Carolina Legislature Online</dc:title>
  <dc:subject/>
  <dc:creator>Chris Charlton</dc:creator>
  <cp:keywords/>
  <dc:description/>
  <cp:lastModifiedBy>Danny Crook</cp:lastModifiedBy>
  <cp:revision>2</cp:revision>
  <cp:lastPrinted>2022-06-15T18:15:00Z</cp:lastPrinted>
  <dcterms:created xsi:type="dcterms:W3CDTF">2022-07-19T15:26:00Z</dcterms:created>
  <dcterms:modified xsi:type="dcterms:W3CDTF">2022-07-19T15:26:00Z</dcterms:modified>
</cp:coreProperties>
</file>