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7ADC">
        <w:rPr>
          <w:rFonts w:cs="Times New Roman"/>
          <w:b/>
        </w:rPr>
        <w:t>South Carolina General Assembly</w:t>
      </w: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7ADC">
        <w:rPr>
          <w:rFonts w:cs="Times New Roman"/>
        </w:rPr>
        <w:t>124th Session, 2021-2022</w:t>
      </w: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ADC" w:rsidRPr="00977ADC" w:rsidRDefault="008E3A53"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A48, R61, S427</w:t>
      </w: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ADC">
        <w:rPr>
          <w:rFonts w:cs="Times New Roman"/>
          <w:b/>
        </w:rPr>
        <w:t>STATUS INFORMATION</w:t>
      </w: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ADC">
        <w:rPr>
          <w:rFonts w:cs="Times New Roman"/>
        </w:rPr>
        <w:t>General Bill</w:t>
      </w: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ADC">
        <w:rPr>
          <w:rFonts w:cs="Times New Roman"/>
        </w:rPr>
        <w:t>Sponsors: Senators Alexander, Hutto and Scott</w:t>
      </w: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ADC">
        <w:rPr>
          <w:rFonts w:cs="Times New Roman"/>
        </w:rPr>
        <w:t>Document Path: l:\s-res\tca\014rena.sp.tca.docx</w:t>
      </w: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46880" w:rsidRDefault="00746880"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746880" w:rsidRDefault="00746880"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 2021</w:t>
      </w:r>
    </w:p>
    <w:p w:rsidR="00746880" w:rsidRDefault="00746880"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5, 2021</w:t>
      </w:r>
    </w:p>
    <w:p w:rsidR="00746880" w:rsidRDefault="00746880"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11, 2021</w:t>
      </w:r>
    </w:p>
    <w:p w:rsidR="00746880" w:rsidRDefault="00746880"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746880" w:rsidRDefault="00746880"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ADC">
        <w:rPr>
          <w:rFonts w:cs="Times New Roman"/>
        </w:rPr>
        <w:t>Summary: Renal dialysis</w:t>
      </w: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ADC" w:rsidRPr="00977ADC" w:rsidRDefault="00977ADC" w:rsidP="00977ADC">
      <w:pPr>
        <w:widowControl w:val="0"/>
        <w:tabs>
          <w:tab w:val="center" w:pos="590"/>
          <w:tab w:val="center" w:pos="1440"/>
          <w:tab w:val="left" w:pos="1872"/>
          <w:tab w:val="left" w:pos="9187"/>
        </w:tabs>
        <w:rPr>
          <w:rFonts w:cs="Times New Roman"/>
        </w:rPr>
      </w:pPr>
      <w:r w:rsidRPr="00977ADC">
        <w:rPr>
          <w:rFonts w:cs="Times New Roman"/>
          <w:b/>
        </w:rPr>
        <w:t>HISTORY OF LEGISLATIVE ACTIONS</w:t>
      </w:r>
    </w:p>
    <w:p w:rsidR="00977ADC" w:rsidRPr="00977ADC" w:rsidRDefault="00977ADC" w:rsidP="00977ADC">
      <w:pPr>
        <w:widowControl w:val="0"/>
        <w:tabs>
          <w:tab w:val="center" w:pos="590"/>
          <w:tab w:val="center" w:pos="1440"/>
          <w:tab w:val="left" w:pos="1872"/>
          <w:tab w:val="left" w:pos="9187"/>
        </w:tabs>
        <w:rPr>
          <w:rFonts w:cs="Times New Roman"/>
        </w:rPr>
      </w:pPr>
    </w:p>
    <w:p w:rsidR="00977ADC" w:rsidRPr="00977ADC" w:rsidRDefault="00977ADC" w:rsidP="00977ADC">
      <w:pPr>
        <w:widowControl w:val="0"/>
        <w:tabs>
          <w:tab w:val="center" w:pos="590"/>
          <w:tab w:val="center" w:pos="1440"/>
          <w:tab w:val="left" w:pos="1872"/>
          <w:tab w:val="left" w:pos="9187"/>
        </w:tabs>
        <w:rPr>
          <w:rFonts w:cs="Times New Roman"/>
        </w:rPr>
      </w:pPr>
      <w:r w:rsidRPr="00977ADC">
        <w:rPr>
          <w:rFonts w:cs="Times New Roman"/>
          <w:u w:val="single"/>
        </w:rPr>
        <w:tab/>
        <w:t>Date</w:t>
      </w:r>
      <w:r w:rsidRPr="00977ADC">
        <w:rPr>
          <w:rFonts w:cs="Times New Roman"/>
          <w:u w:val="single"/>
        </w:rPr>
        <w:tab/>
        <w:t>Body</w:t>
      </w:r>
      <w:r w:rsidRPr="00977ADC">
        <w:rPr>
          <w:rFonts w:cs="Times New Roman"/>
          <w:u w:val="single"/>
        </w:rPr>
        <w:tab/>
        <w:t>Action Description with journal page number</w:t>
      </w:r>
      <w:r w:rsidRPr="00977ADC">
        <w:rPr>
          <w:rFonts w:cs="Times New Roman"/>
          <w:u w:val="single"/>
        </w:rPr>
        <w:tab/>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A07E5C">
          <w:rPr>
            <w:rStyle w:val="Hyperlink"/>
            <w:rFonts w:cs="Times New Roman"/>
          </w:rPr>
          <w:t>Senate Journal</w:t>
        </w:r>
        <w:r w:rsidRPr="00A07E5C">
          <w:rPr>
            <w:rStyle w:val="Hyperlink"/>
            <w:rFonts w:cs="Times New Roman"/>
          </w:rPr>
          <w:noBreakHyphen/>
          <w:t>page 308</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A07E5C">
        <w:rPr>
          <w:rFonts w:cs="Times New Roman"/>
          <w:b/>
        </w:rPr>
        <w:t>Medical Affairs</w:t>
      </w:r>
      <w:r>
        <w:rPr>
          <w:rFonts w:cs="Times New Roman"/>
        </w:rPr>
        <w:t xml:space="preserve"> (</w:t>
      </w:r>
      <w:hyperlink r:id="rId7" w:history="1">
        <w:r w:rsidRPr="00A07E5C">
          <w:rPr>
            <w:rStyle w:val="Hyperlink"/>
            <w:rFonts w:cs="Times New Roman"/>
          </w:rPr>
          <w:t>Senate Journal</w:t>
        </w:r>
        <w:r w:rsidRPr="00A07E5C">
          <w:rPr>
            <w:rStyle w:val="Hyperlink"/>
            <w:rFonts w:cs="Times New Roman"/>
          </w:rPr>
          <w:noBreakHyphen/>
          <w:t>page 308</w:t>
        </w:r>
      </w:hyperlink>
      <w:bookmarkStart w:id="0" w:name="_GoBack"/>
      <w:bookmarkEnd w:id="0"/>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 xml:space="preserve">Committee report: Favorable with amendment </w:t>
      </w:r>
      <w:r w:rsidRPr="00A07E5C">
        <w:rPr>
          <w:rFonts w:cs="Times New Roman"/>
          <w:b/>
        </w:rPr>
        <w:t>Medical Affairs</w:t>
      </w:r>
      <w:r>
        <w:rPr>
          <w:rFonts w:cs="Times New Roman"/>
        </w:rPr>
        <w:t xml:space="preserve"> (</w:t>
      </w:r>
      <w:hyperlink r:id="rId8" w:history="1">
        <w:r w:rsidRPr="00A07E5C">
          <w:rPr>
            <w:rStyle w:val="Hyperlink"/>
            <w:rFonts w:cs="Times New Roman"/>
          </w:rPr>
          <w:t>Senate Journal</w:t>
        </w:r>
        <w:r w:rsidRPr="00A07E5C">
          <w:rPr>
            <w:rStyle w:val="Hyperlink"/>
            <w:rFonts w:cs="Times New Roman"/>
          </w:rPr>
          <w:noBreakHyphen/>
          <w:t>page 7</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Committee Amendment Adopted (</w:t>
      </w:r>
      <w:hyperlink r:id="rId9" w:history="1">
        <w:r w:rsidRPr="00A07E5C">
          <w:rPr>
            <w:rStyle w:val="Hyperlink"/>
            <w:rFonts w:cs="Times New Roman"/>
          </w:rPr>
          <w:t>Senate Journal</w:t>
        </w:r>
        <w:r w:rsidRPr="00A07E5C">
          <w:rPr>
            <w:rStyle w:val="Hyperlink"/>
            <w:rFonts w:cs="Times New Roman"/>
          </w:rPr>
          <w:noBreakHyphen/>
          <w:t>page 22</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Read second time (</w:t>
      </w:r>
      <w:hyperlink r:id="rId10" w:history="1">
        <w:r w:rsidRPr="00A07E5C">
          <w:rPr>
            <w:rStyle w:val="Hyperlink"/>
            <w:rFonts w:cs="Times New Roman"/>
          </w:rPr>
          <w:t>Senate Journal</w:t>
        </w:r>
        <w:r w:rsidRPr="00A07E5C">
          <w:rPr>
            <w:rStyle w:val="Hyperlink"/>
            <w:rFonts w:cs="Times New Roman"/>
          </w:rPr>
          <w:noBreakHyphen/>
          <w:t>page 22</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1" w:history="1">
        <w:r w:rsidRPr="00A07E5C">
          <w:rPr>
            <w:rStyle w:val="Hyperlink"/>
            <w:rFonts w:cs="Times New Roman"/>
          </w:rPr>
          <w:t>Senate Journal</w:t>
        </w:r>
        <w:r w:rsidRPr="00A07E5C">
          <w:rPr>
            <w:rStyle w:val="Hyperlink"/>
            <w:rFonts w:cs="Times New Roman"/>
          </w:rPr>
          <w:noBreakHyphen/>
          <w:t>page 22</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Read third time and sent to House (</w:t>
      </w:r>
      <w:hyperlink r:id="rId12" w:history="1">
        <w:r w:rsidRPr="00A07E5C">
          <w:rPr>
            <w:rStyle w:val="Hyperlink"/>
            <w:rFonts w:cs="Times New Roman"/>
          </w:rPr>
          <w:t>Senate Journal</w:t>
        </w:r>
        <w:r w:rsidRPr="00A07E5C">
          <w:rPr>
            <w:rStyle w:val="Hyperlink"/>
            <w:rFonts w:cs="Times New Roman"/>
          </w:rPr>
          <w:noBreakHyphen/>
          <w:t>page 15</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Introduced and read first time (</w:t>
      </w:r>
      <w:hyperlink r:id="rId13" w:history="1">
        <w:r w:rsidRPr="00A07E5C">
          <w:rPr>
            <w:rStyle w:val="Hyperlink"/>
            <w:rFonts w:cs="Times New Roman"/>
          </w:rPr>
          <w:t>House Journal</w:t>
        </w:r>
        <w:r w:rsidRPr="00A07E5C">
          <w:rPr>
            <w:rStyle w:val="Hyperlink"/>
            <w:rFonts w:cs="Times New Roman"/>
          </w:rPr>
          <w:noBreakHyphen/>
          <w:t>page 13</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 xml:space="preserve">Referred to Committee on </w:t>
      </w:r>
      <w:r w:rsidRPr="00A07E5C">
        <w:rPr>
          <w:rFonts w:cs="Times New Roman"/>
          <w:b/>
        </w:rPr>
        <w:t>Medical, Military, Public and Municipal Affairs</w:t>
      </w:r>
      <w:r>
        <w:rPr>
          <w:rFonts w:cs="Times New Roman"/>
        </w:rPr>
        <w:t xml:space="preserve"> (</w:t>
      </w:r>
      <w:hyperlink r:id="rId14" w:history="1">
        <w:r w:rsidRPr="00A07E5C">
          <w:rPr>
            <w:rStyle w:val="Hyperlink"/>
            <w:rFonts w:cs="Times New Roman"/>
          </w:rPr>
          <w:t>House Journal</w:t>
        </w:r>
        <w:r w:rsidRPr="00A07E5C">
          <w:rPr>
            <w:rStyle w:val="Hyperlink"/>
            <w:rFonts w:cs="Times New Roman"/>
          </w:rPr>
          <w:noBreakHyphen/>
          <w:t>page 13</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 xml:space="preserve">Committee report: Favorable with amendment </w:t>
      </w:r>
      <w:r w:rsidRPr="00A07E5C">
        <w:rPr>
          <w:rFonts w:cs="Times New Roman"/>
          <w:b/>
        </w:rPr>
        <w:t>Medical, Military, Public and Municipal Affairs</w:t>
      </w:r>
      <w:r>
        <w:rPr>
          <w:rFonts w:cs="Times New Roman"/>
        </w:rPr>
        <w:t xml:space="preserve"> (</w:t>
      </w:r>
      <w:hyperlink r:id="rId15" w:history="1">
        <w:r w:rsidRPr="00A07E5C">
          <w:rPr>
            <w:rStyle w:val="Hyperlink"/>
            <w:rFonts w:cs="Times New Roman"/>
          </w:rPr>
          <w:t>House Journal</w:t>
        </w:r>
        <w:r w:rsidRPr="00A07E5C">
          <w:rPr>
            <w:rStyle w:val="Hyperlink"/>
            <w:rFonts w:cs="Times New Roman"/>
          </w:rPr>
          <w:noBreakHyphen/>
          <w:t>page 79</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Amended (</w:t>
      </w:r>
      <w:hyperlink r:id="rId16" w:history="1">
        <w:r w:rsidRPr="00A07E5C">
          <w:rPr>
            <w:rStyle w:val="Hyperlink"/>
            <w:rFonts w:cs="Times New Roman"/>
          </w:rPr>
          <w:t>House Journal</w:t>
        </w:r>
        <w:r w:rsidRPr="00A07E5C">
          <w:rPr>
            <w:rStyle w:val="Hyperlink"/>
            <w:rFonts w:cs="Times New Roman"/>
          </w:rPr>
          <w:noBreakHyphen/>
          <w:t>page 10</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second time (</w:t>
      </w:r>
      <w:hyperlink r:id="rId17" w:history="1">
        <w:r w:rsidRPr="00A07E5C">
          <w:rPr>
            <w:rStyle w:val="Hyperlink"/>
            <w:rFonts w:cs="Times New Roman"/>
          </w:rPr>
          <w:t>House Journal</w:t>
        </w:r>
        <w:r w:rsidRPr="00A07E5C">
          <w:rPr>
            <w:rStyle w:val="Hyperlink"/>
            <w:rFonts w:cs="Times New Roman"/>
          </w:rPr>
          <w:noBreakHyphen/>
          <w:t>page 10</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18" w:history="1">
        <w:r w:rsidRPr="00A07E5C">
          <w:rPr>
            <w:rStyle w:val="Hyperlink"/>
            <w:rFonts w:cs="Times New Roman"/>
          </w:rPr>
          <w:t>House Journal</w:t>
        </w:r>
        <w:r w:rsidRPr="00A07E5C">
          <w:rPr>
            <w:rStyle w:val="Hyperlink"/>
            <w:rFonts w:cs="Times New Roman"/>
          </w:rPr>
          <w:noBreakHyphen/>
          <w:t>page 11</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House</w:t>
      </w:r>
      <w:r>
        <w:rPr>
          <w:rFonts w:cs="Times New Roman"/>
        </w:rPr>
        <w:tab/>
        <w:t>Returned to Senate with amendments (</w:t>
      </w:r>
      <w:hyperlink r:id="rId19" w:history="1">
        <w:r w:rsidRPr="00A07E5C">
          <w:rPr>
            <w:rStyle w:val="Hyperlink"/>
            <w:rFonts w:cs="Times New Roman"/>
          </w:rPr>
          <w:t>House Journal</w:t>
        </w:r>
        <w:r w:rsidRPr="00A07E5C">
          <w:rPr>
            <w:rStyle w:val="Hyperlink"/>
            <w:rFonts w:cs="Times New Roman"/>
          </w:rPr>
          <w:noBreakHyphen/>
          <w:t>page 14</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Concurred in House amendment and enrolled (</w:t>
      </w:r>
      <w:hyperlink r:id="rId20" w:history="1">
        <w:r w:rsidRPr="00A07E5C">
          <w:rPr>
            <w:rStyle w:val="Hyperlink"/>
            <w:rFonts w:cs="Times New Roman"/>
          </w:rPr>
          <w:t>Senate Journal</w:t>
        </w:r>
        <w:r w:rsidRPr="00A07E5C">
          <w:rPr>
            <w:rStyle w:val="Hyperlink"/>
            <w:rFonts w:cs="Times New Roman"/>
          </w:rPr>
          <w:noBreakHyphen/>
          <w:t>page 31</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21" w:history="1">
        <w:r w:rsidRPr="00A07E5C">
          <w:rPr>
            <w:rStyle w:val="Hyperlink"/>
            <w:rFonts w:cs="Times New Roman"/>
          </w:rPr>
          <w:t>Senate Journal</w:t>
        </w:r>
        <w:r w:rsidRPr="00A07E5C">
          <w:rPr>
            <w:rStyle w:val="Hyperlink"/>
            <w:rFonts w:cs="Times New Roman"/>
          </w:rPr>
          <w:noBreakHyphen/>
          <w:t>page 31</w:t>
        </w:r>
      </w:hyperlink>
      <w:r>
        <w:rPr>
          <w:rFonts w:cs="Times New Roman"/>
        </w:rPr>
        <w:t>)</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61</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8E3A53" w:rsidRDefault="008E3A53" w:rsidP="008E3A53">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48</w:t>
      </w:r>
    </w:p>
    <w:p w:rsidR="008E3A53" w:rsidRDefault="008E3A53" w:rsidP="008E3A53">
      <w:pPr>
        <w:widowControl w:val="0"/>
        <w:tabs>
          <w:tab w:val="right" w:pos="1008"/>
          <w:tab w:val="left" w:pos="1152"/>
          <w:tab w:val="left" w:pos="1872"/>
          <w:tab w:val="left" w:pos="9187"/>
        </w:tabs>
        <w:ind w:left="2088" w:hanging="2088"/>
        <w:rPr>
          <w:rFonts w:cs="Times New Roman"/>
        </w:rPr>
      </w:pPr>
    </w:p>
    <w:p w:rsidR="00977ADC" w:rsidRPr="00977ADC" w:rsidRDefault="00977ADC" w:rsidP="00977ADC">
      <w:pPr>
        <w:widowControl w:val="0"/>
        <w:tabs>
          <w:tab w:val="right" w:pos="1008"/>
          <w:tab w:val="left" w:pos="1152"/>
          <w:tab w:val="left" w:pos="1872"/>
          <w:tab w:val="left" w:pos="9187"/>
        </w:tabs>
        <w:ind w:left="2088" w:hanging="2088"/>
        <w:rPr>
          <w:rFonts w:cs="Times New Roman"/>
        </w:rPr>
      </w:pPr>
      <w:r w:rsidRPr="00977ADC">
        <w:rPr>
          <w:rFonts w:cs="Times New Roman"/>
        </w:rPr>
        <w:t xml:space="preserve">View the latest </w:t>
      </w:r>
      <w:hyperlink r:id="rId22" w:history="1">
        <w:r w:rsidRPr="00977ADC">
          <w:rPr>
            <w:rFonts w:cs="Times New Roman"/>
            <w:color w:val="0000FF" w:themeColor="hyperlink"/>
            <w:u w:val="single"/>
          </w:rPr>
          <w:t>legislative information</w:t>
        </w:r>
      </w:hyperlink>
      <w:r w:rsidRPr="00977ADC">
        <w:rPr>
          <w:rFonts w:cs="Times New Roman"/>
        </w:rPr>
        <w:t xml:space="preserve"> at the website</w:t>
      </w:r>
    </w:p>
    <w:p w:rsidR="00977ADC" w:rsidRPr="00977ADC" w:rsidRDefault="00977ADC" w:rsidP="00977ADC">
      <w:pPr>
        <w:widowControl w:val="0"/>
        <w:tabs>
          <w:tab w:val="right" w:pos="1008"/>
          <w:tab w:val="left" w:pos="1152"/>
          <w:tab w:val="left" w:pos="1872"/>
          <w:tab w:val="left" w:pos="9187"/>
        </w:tabs>
        <w:ind w:left="2088" w:hanging="2088"/>
        <w:rPr>
          <w:rFonts w:cs="Times New Roman"/>
        </w:rPr>
      </w:pPr>
    </w:p>
    <w:p w:rsidR="00977ADC" w:rsidRPr="00977ADC" w:rsidRDefault="00977ADC" w:rsidP="00977ADC">
      <w:pPr>
        <w:widowControl w:val="0"/>
        <w:tabs>
          <w:tab w:val="right" w:pos="1008"/>
          <w:tab w:val="left" w:pos="1152"/>
          <w:tab w:val="left" w:pos="1872"/>
          <w:tab w:val="left" w:pos="9187"/>
        </w:tabs>
        <w:ind w:left="2088" w:hanging="2088"/>
        <w:rPr>
          <w:rFonts w:cs="Times New Roman"/>
        </w:rPr>
      </w:pP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7ADC">
        <w:rPr>
          <w:rFonts w:cs="Times New Roman"/>
          <w:b/>
        </w:rPr>
        <w:t>VERSIONS OF THIS BILL</w:t>
      </w:r>
    </w:p>
    <w:p w:rsidR="00977ADC" w:rsidRPr="00977ADC" w:rsidRDefault="00977ADC"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ADC" w:rsidRPr="00977ADC" w:rsidRDefault="009028BE" w:rsidP="00977A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977ADC" w:rsidRPr="00977ADC">
          <w:rPr>
            <w:rFonts w:cs="Times New Roman"/>
            <w:color w:val="0000FF" w:themeColor="hyperlink"/>
            <w:u w:val="single"/>
          </w:rPr>
          <w:t>1/12/2021</w:t>
        </w:r>
      </w:hyperlink>
    </w:p>
    <w:p w:rsidR="00977ADC" w:rsidRPr="00977ADC" w:rsidRDefault="009028BE" w:rsidP="0097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977ADC" w:rsidRPr="00977ADC">
          <w:rPr>
            <w:rFonts w:cs="Times New Roman"/>
            <w:color w:val="0000FF" w:themeColor="hyperlink"/>
            <w:u w:val="single"/>
          </w:rPr>
          <w:t>2/18/2021</w:t>
        </w:r>
      </w:hyperlink>
    </w:p>
    <w:p w:rsidR="00977ADC" w:rsidRPr="00977ADC" w:rsidRDefault="009028BE" w:rsidP="0097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977ADC" w:rsidRPr="00977ADC">
          <w:rPr>
            <w:rFonts w:cs="Times New Roman"/>
            <w:color w:val="0000FF" w:themeColor="hyperlink"/>
            <w:u w:val="single"/>
          </w:rPr>
          <w:t>2/24/2021</w:t>
        </w:r>
      </w:hyperlink>
    </w:p>
    <w:p w:rsidR="00977ADC" w:rsidRPr="00977ADC" w:rsidRDefault="009028BE" w:rsidP="0097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977ADC" w:rsidRPr="00977ADC">
          <w:rPr>
            <w:rFonts w:cs="Times New Roman"/>
            <w:color w:val="0000FF" w:themeColor="hyperlink"/>
            <w:u w:val="single"/>
          </w:rPr>
          <w:t>4/29/2021</w:t>
        </w:r>
      </w:hyperlink>
    </w:p>
    <w:p w:rsidR="00977ADC" w:rsidRPr="00977ADC" w:rsidRDefault="009028BE" w:rsidP="0097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977ADC" w:rsidRPr="00977ADC">
          <w:rPr>
            <w:rFonts w:cs="Times New Roman"/>
            <w:color w:val="0000FF" w:themeColor="hyperlink"/>
            <w:u w:val="single"/>
          </w:rPr>
          <w:t>5/5/2021</w:t>
        </w:r>
      </w:hyperlink>
    </w:p>
    <w:p w:rsidR="00977ADC" w:rsidRPr="00977ADC" w:rsidRDefault="00977ADC" w:rsidP="0097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7ADC" w:rsidRDefault="00977ADC" w:rsidP="00977A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77ADC" w:rsidSect="00977ADC">
          <w:pgSz w:w="12240" w:h="15840" w:code="1"/>
          <w:pgMar w:top="1080" w:right="1440" w:bottom="1080" w:left="1440" w:header="720" w:footer="720" w:gutter="0"/>
          <w:pgNumType w:start="1"/>
          <w:cols w:space="720"/>
          <w:noEndnote/>
          <w:docGrid w:linePitch="360"/>
        </w:sectPr>
      </w:pPr>
    </w:p>
    <w:p w:rsidR="00245E93"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(A48, R61, S427)</w:t>
      </w:r>
    </w:p>
    <w:p w:rsidR="00245E93" w:rsidRPr="008836A5"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45E93" w:rsidRPr="00977ADC"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77ADC">
        <w:rPr>
          <w:rFonts w:cs="Times New Roman"/>
          <w:b/>
          <w:color w:val="000000" w:themeColor="text1"/>
          <w:szCs w:val="36"/>
        </w:rPr>
        <w:t xml:space="preserve">AN ACT </w:t>
      </w:r>
      <w:bookmarkStart w:id="1" w:name="titleend"/>
      <w:bookmarkEnd w:id="1"/>
      <w:r w:rsidRPr="00977ADC">
        <w:rPr>
          <w:rFonts w:cs="Times New Roman"/>
          <w:b/>
          <w:color w:val="000000" w:themeColor="text1"/>
          <w:u w:color="000000" w:themeColor="text1"/>
        </w:rPr>
        <w:t>TO AMEND SECTION 40</w:t>
      </w:r>
      <w:r w:rsidRPr="00977ADC">
        <w:rPr>
          <w:rFonts w:cs="Times New Roman"/>
          <w:b/>
          <w:color w:val="000000" w:themeColor="text1"/>
          <w:u w:color="000000" w:themeColor="text1"/>
        </w:rPr>
        <w:noBreakHyphen/>
        <w:t>43</w:t>
      </w:r>
      <w:r w:rsidRPr="00977ADC">
        <w:rPr>
          <w:rFonts w:cs="Times New Roman"/>
          <w:b/>
          <w:color w:val="000000" w:themeColor="text1"/>
          <w:u w:color="000000" w:themeColor="text1"/>
        </w:rPr>
        <w:noBreakHyphen/>
        <w:t>75, CODE OF LAWS OF SOUTH CAROLINA, 1976, RELATING TO PROVISIONS IN THE PHARMACY PRACTICE ACT REGARDING RENAL DIALYSIS FACILITIES, SO AS TO PROVIDE RENAL DRUG MANUFACTURERS OR THEIR AGENTS MAY DELIVER CERTAIN LEGEND DIALYSATE DRUGS OR DEVICES TO RENAL DIALYSIS FACILITY PATIENTS IF CERTAIN CRITERIA ARE MET, AND TO DEFINE NECESSARY TERMS; AND TO AMEND SECTION 40</w:t>
      </w:r>
      <w:r w:rsidRPr="00977ADC">
        <w:rPr>
          <w:rFonts w:cs="Times New Roman"/>
          <w:b/>
          <w:color w:val="000000" w:themeColor="text1"/>
          <w:u w:color="000000" w:themeColor="text1"/>
        </w:rPr>
        <w:noBreakHyphen/>
        <w:t>43</w:t>
      </w:r>
      <w:r w:rsidRPr="00977ADC">
        <w:rPr>
          <w:rFonts w:cs="Times New Roman"/>
          <w:b/>
          <w:color w:val="000000" w:themeColor="text1"/>
          <w:u w:color="000000" w:themeColor="text1"/>
        </w:rPr>
        <w:noBreakHyphen/>
        <w:t>130, RELATING TO CONTINUING EDUCATION REQUIREMENTS IN THE PHARMACY PRACTICE ACT, SO AS TO REMOVE MINIMUM IN</w:t>
      </w:r>
      <w:r w:rsidRPr="00977ADC">
        <w:rPr>
          <w:rFonts w:cs="Times New Roman"/>
          <w:b/>
          <w:color w:val="000000" w:themeColor="text1"/>
          <w:u w:color="000000" w:themeColor="text1"/>
        </w:rPr>
        <w:noBreakHyphen/>
        <w:t xml:space="preserve">PERSON CONTINUING EDUCATION REQUIREMENTS FOR PHARMACISTS AND PHARMACY TECHNICIANS. </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C2EFA">
        <w:rPr>
          <w:rFonts w:eastAsia="Times New Roman" w:cs="Times New Roman"/>
        </w:rPr>
        <w:t>Be it enacted by the General Assembly of the State of South Carolina:</w:t>
      </w:r>
    </w:p>
    <w:p w:rsidR="00245E93"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F720C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Renal dialysis facilities, drug and device delivery by manufacturers</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C2EFA">
        <w:rPr>
          <w:rFonts w:eastAsia="Times New Roman" w:cs="Times New Roman"/>
        </w:rPr>
        <w:t>SECTION</w:t>
      </w:r>
      <w:r w:rsidRPr="00AC2EFA">
        <w:rPr>
          <w:rFonts w:eastAsia="Times New Roman" w:cs="Times New Roman"/>
        </w:rPr>
        <w:tab/>
        <w:t>1.</w:t>
      </w:r>
      <w:r w:rsidRPr="00AC2EFA">
        <w:rPr>
          <w:rFonts w:eastAsia="Times New Roman" w:cs="Times New Roman"/>
        </w:rPr>
        <w:tab/>
        <w:t>Section 40</w:t>
      </w:r>
      <w:r>
        <w:rPr>
          <w:rFonts w:eastAsia="Times New Roman" w:cs="Times New Roman"/>
        </w:rPr>
        <w:noBreakHyphen/>
      </w:r>
      <w:r w:rsidRPr="00AC2EFA">
        <w:rPr>
          <w:rFonts w:eastAsia="Times New Roman" w:cs="Times New Roman"/>
        </w:rPr>
        <w:t>43</w:t>
      </w:r>
      <w:r>
        <w:rPr>
          <w:rFonts w:eastAsia="Times New Roman" w:cs="Times New Roman"/>
        </w:rPr>
        <w:noBreakHyphen/>
      </w:r>
      <w:r w:rsidRPr="00AC2EFA">
        <w:rPr>
          <w:rFonts w:eastAsia="Times New Roman" w:cs="Times New Roman"/>
        </w:rPr>
        <w:t>75 of the 1976 Code is amended to read:</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eastAsia="Times New Roman" w:cs="Times New Roman"/>
        </w:rPr>
        <w:tab/>
        <w:t>“Section 40</w:t>
      </w:r>
      <w:r>
        <w:rPr>
          <w:rFonts w:eastAsia="Times New Roman" w:cs="Times New Roman"/>
        </w:rPr>
        <w:noBreakHyphen/>
      </w:r>
      <w:r w:rsidRPr="00AC2EFA">
        <w:rPr>
          <w:rFonts w:eastAsia="Times New Roman" w:cs="Times New Roman"/>
        </w:rPr>
        <w:t>43</w:t>
      </w:r>
      <w:r>
        <w:rPr>
          <w:rFonts w:eastAsia="Times New Roman" w:cs="Times New Roman"/>
        </w:rPr>
        <w:noBreakHyphen/>
      </w:r>
      <w:r w:rsidRPr="00AC2EFA">
        <w:rPr>
          <w:rFonts w:eastAsia="Times New Roman" w:cs="Times New Roman"/>
        </w:rPr>
        <w:t>75.</w:t>
      </w:r>
      <w:r w:rsidRPr="00AC2EFA">
        <w:rPr>
          <w:rFonts w:eastAsia="Times New Roman" w:cs="Times New Roman"/>
        </w:rPr>
        <w:tab/>
      </w:r>
      <w:r w:rsidRPr="00AC2EFA">
        <w:rPr>
          <w:rFonts w:cs="Times New Roman"/>
        </w:rPr>
        <w:t>(A)</w:t>
      </w:r>
      <w:r w:rsidRPr="00AC2EFA">
        <w:rPr>
          <w:rFonts w:cs="Times New Roman"/>
        </w:rPr>
        <w:tab/>
        <w:t>For purposes of this section:</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(1)</w:t>
      </w:r>
      <w:r w:rsidRPr="00AC2EFA">
        <w:rPr>
          <w:rFonts w:cs="Times New Roman"/>
        </w:rPr>
        <w:tab/>
      </w:r>
      <w:r w:rsidRPr="008C7342">
        <w:rPr>
          <w:rFonts w:cs="Times New Roman"/>
        </w:rPr>
        <w:t>‘</w:t>
      </w:r>
      <w:r w:rsidRPr="00AC2EFA">
        <w:rPr>
          <w:rFonts w:cs="Times New Roman"/>
        </w:rPr>
        <w:t>Renal dialysis facility</w:t>
      </w:r>
      <w:r w:rsidRPr="008C7342">
        <w:rPr>
          <w:rFonts w:cs="Times New Roman"/>
        </w:rPr>
        <w:t>’</w:t>
      </w:r>
      <w:r w:rsidRPr="00AC2EFA">
        <w:rPr>
          <w:rFonts w:cs="Times New Roman"/>
        </w:rPr>
        <w:t xml:space="preserve"> or </w:t>
      </w:r>
      <w:r w:rsidRPr="008C7342">
        <w:rPr>
          <w:rFonts w:cs="Times New Roman"/>
        </w:rPr>
        <w:t>‘</w:t>
      </w:r>
      <w:r w:rsidRPr="00AC2EFA">
        <w:rPr>
          <w:rFonts w:cs="Times New Roman"/>
        </w:rPr>
        <w:t>RDF</w:t>
      </w:r>
      <w:r w:rsidRPr="008C7342">
        <w:rPr>
          <w:rFonts w:cs="Times New Roman"/>
        </w:rPr>
        <w:t>’</w:t>
      </w:r>
      <w:r w:rsidRPr="00AC2EFA">
        <w:rPr>
          <w:rFonts w:cs="Times New Roman"/>
        </w:rPr>
        <w:t xml:space="preserve"> means an outpatient facility that treats and offers staff</w:t>
      </w:r>
      <w:r>
        <w:rPr>
          <w:rFonts w:cs="Times New Roman"/>
        </w:rPr>
        <w:noBreakHyphen/>
      </w:r>
      <w:r w:rsidRPr="00AC2EFA">
        <w:rPr>
          <w:rFonts w:cs="Times New Roman"/>
        </w:rPr>
        <w:t>assisted dialysis or training and support services for self</w:t>
      </w:r>
      <w:r>
        <w:rPr>
          <w:rFonts w:cs="Times New Roman"/>
        </w:rPr>
        <w:noBreakHyphen/>
      </w:r>
      <w:r w:rsidRPr="00AC2EFA">
        <w:rPr>
          <w:rFonts w:cs="Times New Roman"/>
        </w:rPr>
        <w:t>dialysis patients to end</w:t>
      </w:r>
      <w:r>
        <w:rPr>
          <w:rFonts w:cs="Times New Roman"/>
        </w:rPr>
        <w:noBreakHyphen/>
      </w:r>
      <w:r w:rsidRPr="00AC2EFA">
        <w:rPr>
          <w:rFonts w:cs="Times New Roman"/>
        </w:rPr>
        <w:t>stage renal disease patients, as defined by Centers for Medicare and Medicaid Services. An RDF may be composed of one or more fixed buildings, mobile units, or a combination of them, as defined in R. 61</w:t>
      </w:r>
      <w:r>
        <w:rPr>
          <w:rFonts w:cs="Times New Roman"/>
        </w:rPr>
        <w:noBreakHyphen/>
      </w:r>
      <w:r w:rsidRPr="00AC2EFA">
        <w:rPr>
          <w:rFonts w:cs="Times New Roman"/>
        </w:rPr>
        <w:t>97. An RDF must be certified by Medicare to provide dialysis</w:t>
      </w:r>
      <w:r>
        <w:rPr>
          <w:rFonts w:cs="Times New Roman"/>
        </w:rPr>
        <w:noBreakHyphen/>
      </w:r>
      <w:r w:rsidRPr="00AC2EFA">
        <w:rPr>
          <w:rFonts w:cs="Times New Roman"/>
        </w:rPr>
        <w:t>related services to ESRD patients and must have a medical director licensed as a physician, pursuant to Chapter 47, Title 40, on staff.</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(2)</w:t>
      </w:r>
      <w:r w:rsidRPr="00AC2EFA">
        <w:rPr>
          <w:rFonts w:cs="Times New Roman"/>
        </w:rPr>
        <w:tab/>
      </w:r>
      <w:r w:rsidRPr="008C7342">
        <w:rPr>
          <w:rFonts w:cs="Times New Roman"/>
        </w:rPr>
        <w:t>‘</w:t>
      </w:r>
      <w:r w:rsidRPr="00AC2EFA">
        <w:rPr>
          <w:rFonts w:cs="Times New Roman"/>
        </w:rPr>
        <w:t>End</w:t>
      </w:r>
      <w:r>
        <w:rPr>
          <w:rFonts w:cs="Times New Roman"/>
        </w:rPr>
        <w:noBreakHyphen/>
      </w:r>
      <w:r w:rsidRPr="00AC2EFA">
        <w:rPr>
          <w:rFonts w:cs="Times New Roman"/>
        </w:rPr>
        <w:t>stage renal disease</w:t>
      </w:r>
      <w:r w:rsidRPr="008C7342">
        <w:rPr>
          <w:rFonts w:cs="Times New Roman"/>
        </w:rPr>
        <w:t>’</w:t>
      </w:r>
      <w:r w:rsidRPr="00AC2EFA">
        <w:rPr>
          <w:rFonts w:cs="Times New Roman"/>
        </w:rPr>
        <w:t xml:space="preserve"> or </w:t>
      </w:r>
      <w:r w:rsidRPr="008C7342">
        <w:rPr>
          <w:rFonts w:cs="Times New Roman"/>
        </w:rPr>
        <w:t>‘</w:t>
      </w:r>
      <w:r w:rsidRPr="00AC2EFA">
        <w:rPr>
          <w:rFonts w:cs="Times New Roman"/>
        </w:rPr>
        <w:t>ESRD</w:t>
      </w:r>
      <w:r w:rsidRPr="008C7342">
        <w:rPr>
          <w:rFonts w:cs="Times New Roman"/>
        </w:rPr>
        <w:t>’</w:t>
      </w:r>
      <w:r w:rsidRPr="00AC2EFA">
        <w:rPr>
          <w:rFonts w:cs="Times New Roman"/>
        </w:rPr>
        <w:t xml:space="preserve"> means the disease state, and associated conditions, defined under 42 C.F.R. 406.13 and the United States Social Security Act.</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(3)</w:t>
      </w:r>
      <w:r w:rsidRPr="00AC2EFA">
        <w:rPr>
          <w:rFonts w:cs="Times New Roman"/>
        </w:rPr>
        <w:tab/>
      </w:r>
      <w:r w:rsidRPr="008C7342">
        <w:rPr>
          <w:rFonts w:cs="Times New Roman"/>
        </w:rPr>
        <w:t>‘</w:t>
      </w:r>
      <w:r w:rsidRPr="00AC2EFA">
        <w:rPr>
          <w:rFonts w:cs="Times New Roman"/>
        </w:rPr>
        <w:t>Renal drug manufacturer</w:t>
      </w:r>
      <w:r w:rsidRPr="008C7342">
        <w:rPr>
          <w:rFonts w:cs="Times New Roman"/>
        </w:rPr>
        <w:t>’</w:t>
      </w:r>
      <w:r w:rsidRPr="00AC2EFA">
        <w:rPr>
          <w:rFonts w:cs="Times New Roman"/>
        </w:rPr>
        <w:t xml:space="preserve"> means a manufacturer of legend drugs or devices for self</w:t>
      </w:r>
      <w:r>
        <w:rPr>
          <w:rFonts w:cs="Times New Roman"/>
        </w:rPr>
        <w:noBreakHyphen/>
      </w:r>
      <w:r w:rsidRPr="00AC2EFA">
        <w:rPr>
          <w:rFonts w:cs="Times New Roman"/>
        </w:rPr>
        <w:t>dialysis by RDF patients.</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t>(B)</w:t>
      </w:r>
      <w:r w:rsidRPr="00AC2EFA">
        <w:rPr>
          <w:rFonts w:cs="Times New Roman"/>
        </w:rPr>
        <w:tab/>
        <w:t>An RDF may deliver a legend drug or device to a patient of an RDF if:</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(1)</w:t>
      </w:r>
      <w:r w:rsidRPr="00AC2EFA">
        <w:rPr>
          <w:rFonts w:cs="Times New Roman"/>
        </w:rPr>
        <w:tab/>
        <w:t>the drug or device is for home use by the patient or for administration in the facility as required by the prescriber</w:t>
      </w:r>
      <w:r w:rsidRPr="008C7342">
        <w:rPr>
          <w:rFonts w:cs="Times New Roman"/>
        </w:rPr>
        <w:t>’</w:t>
      </w:r>
      <w:r w:rsidRPr="00AC2EFA">
        <w:rPr>
          <w:rFonts w:cs="Times New Roman"/>
        </w:rPr>
        <w:t>s order or prescription;</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lastRenderedPageBreak/>
        <w:tab/>
      </w:r>
      <w:r w:rsidRPr="00AC2EFA">
        <w:rPr>
          <w:rFonts w:cs="Times New Roman"/>
        </w:rPr>
        <w:tab/>
        <w:t>(2)</w:t>
      </w:r>
      <w:r w:rsidRPr="00AC2EFA">
        <w:rPr>
          <w:rFonts w:cs="Times New Roman"/>
        </w:rPr>
        <w:tab/>
        <w:t>the drug or device is dispensed to the RDF by a properly licensed resident or nonresident pharmacy licensed by the board or administered by a properly licensed health care practitioner;</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(3)</w:t>
      </w:r>
      <w:r w:rsidRPr="00AC2EFA">
        <w:rPr>
          <w:rFonts w:cs="Times New Roman"/>
        </w:rPr>
        <w:tab/>
        <w:t>the drug or device is dispensed by the pharmacy pursuant to a valid prescription issued by a licensed practitioner, as defined in Section 40</w:t>
      </w:r>
      <w:r>
        <w:rPr>
          <w:rFonts w:cs="Times New Roman"/>
        </w:rPr>
        <w:noBreakHyphen/>
      </w:r>
      <w:r w:rsidRPr="00AC2EFA">
        <w:rPr>
          <w:rFonts w:cs="Times New Roman"/>
        </w:rPr>
        <w:t>43</w:t>
      </w:r>
      <w:r>
        <w:rPr>
          <w:rFonts w:cs="Times New Roman"/>
        </w:rPr>
        <w:noBreakHyphen/>
      </w:r>
      <w:r w:rsidRPr="00AC2EFA">
        <w:rPr>
          <w:rFonts w:cs="Times New Roman"/>
        </w:rPr>
        <w:t>30(72);</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(4)</w:t>
      </w:r>
      <w:r w:rsidRPr="00AC2EFA">
        <w:rPr>
          <w:rFonts w:cs="Times New Roman"/>
        </w:rPr>
        <w:tab/>
        <w:t>the drug or device delivered by the RDF is properly labeled in accordance with state and federal law;</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(5)</w:t>
      </w:r>
      <w:r w:rsidRPr="00AC2EFA">
        <w:rPr>
          <w:rFonts w:cs="Times New Roman"/>
        </w:rPr>
        <w:tab/>
        <w:t>the drug or device is held by the RDF in a secure location in an area not accessible to the public, and packages containing drugs or devices are delivered by RDF staff, unopened, to the patient;</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(6)</w:t>
      </w:r>
      <w:r w:rsidRPr="00AC2EFA">
        <w:rPr>
          <w:rFonts w:cs="Times New Roman"/>
        </w:rPr>
        <w:tab/>
        <w:t>the patient is given a choice of receiving the drug or device from the RDF, at their home, or from another agent;</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(7)</w:t>
      </w:r>
      <w:r w:rsidRPr="00AC2EFA">
        <w:rPr>
          <w:rFonts w:cs="Times New Roman"/>
        </w:rPr>
        <w:tab/>
        <w:t>the drugs exclude controlled substances; and</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(8)</w:t>
      </w:r>
      <w:r w:rsidRPr="00AC2EFA">
        <w:rPr>
          <w:rFonts w:cs="Times New Roman"/>
        </w:rPr>
        <w:tab/>
        <w:t>the RDF maintains policies and procedures concerning how it will receive, store, maintain, and return any drugs or devices that are not picked up by the patient and returned to the dispensing pharmacy.</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t>(C)</w:t>
      </w:r>
      <w:r w:rsidRPr="00AC2EFA">
        <w:rPr>
          <w:rFonts w:cs="Times New Roman"/>
        </w:rPr>
        <w:tab/>
        <w:t>A renal drug manufacturer may deliver a legend dialysate drug comprised of dextrose or icodextrin or a device to a patient of an RDF if the following criteria are met:</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(1)</w:t>
      </w:r>
      <w:r w:rsidRPr="00AC2EFA">
        <w:rPr>
          <w:rFonts w:cs="Times New Roman"/>
        </w:rPr>
        <w:tab/>
        <w:t>the dialysate drugs or devices are approved by the United States Food and Drug Administration as required by federal law;</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(2)</w:t>
      </w:r>
      <w:r w:rsidRPr="00AC2EFA">
        <w:rPr>
          <w:rFonts w:cs="Times New Roman"/>
        </w:rPr>
        <w:tab/>
        <w:t>the dialysate drugs or devices are lawfully held by a renal drug manufacturer or a renal drug manufacturer</w:t>
      </w:r>
      <w:r w:rsidRPr="008C7342">
        <w:rPr>
          <w:rFonts w:cs="Times New Roman"/>
        </w:rPr>
        <w:t>’</w:t>
      </w:r>
      <w:r w:rsidRPr="00AC2EFA">
        <w:rPr>
          <w:rFonts w:cs="Times New Roman"/>
        </w:rPr>
        <w:t>s agent that is properly registered with the board as a manufacturer or wholesale drug distributor;</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(3)</w:t>
      </w:r>
      <w:r w:rsidRPr="00AC2EFA">
        <w:rPr>
          <w:rFonts w:cs="Times New Roman"/>
        </w:rPr>
        <w:tab/>
        <w:t>the dialysate drugs or devices are held and delivered in their original sealed and labeled packaging from the renal drug manufacturing facility;</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(4)</w:t>
      </w:r>
      <w:r w:rsidRPr="00AC2EFA">
        <w:rPr>
          <w:rFonts w:cs="Times New Roman"/>
        </w:rPr>
        <w:tab/>
        <w:t>the dialysate drugs or devices are delivered only by the renal drug manufacturer or the renal drug manufacturer</w:t>
      </w:r>
      <w:r w:rsidRPr="008C7342">
        <w:rPr>
          <w:rFonts w:cs="Times New Roman"/>
        </w:rPr>
        <w:t>’</w:t>
      </w:r>
      <w:r w:rsidRPr="00AC2EFA">
        <w:rPr>
          <w:rFonts w:cs="Times New Roman"/>
        </w:rPr>
        <w:t>s agent and only upon receipt of a physician</w:t>
      </w:r>
      <w:r w:rsidRPr="008C7342">
        <w:rPr>
          <w:rFonts w:cs="Times New Roman"/>
        </w:rPr>
        <w:t>’</w:t>
      </w:r>
      <w:r w:rsidRPr="00AC2EFA">
        <w:rPr>
          <w:rFonts w:cs="Times New Roman"/>
        </w:rPr>
        <w:t>s order; and</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r>
      <w:r w:rsidRPr="00AC2EFA">
        <w:rPr>
          <w:rFonts w:cs="Times New Roman"/>
        </w:rPr>
        <w:tab/>
        <w:t>(5)</w:t>
      </w:r>
      <w:r w:rsidRPr="00AC2EFA">
        <w:rPr>
          <w:rFonts w:cs="Times New Roman"/>
        </w:rPr>
        <w:tab/>
        <w:t>the renal drug manufacturer or the renal drug manufacturer</w:t>
      </w:r>
      <w:r w:rsidRPr="008C7342">
        <w:rPr>
          <w:rFonts w:cs="Times New Roman"/>
        </w:rPr>
        <w:t>’</w:t>
      </w:r>
      <w:r w:rsidRPr="00AC2EFA">
        <w:rPr>
          <w:rFonts w:cs="Times New Roman"/>
        </w:rPr>
        <w:t>s agent delivers dialysate drugs or devices directly to a patient with end</w:t>
      </w:r>
      <w:r>
        <w:rPr>
          <w:rFonts w:cs="Times New Roman"/>
        </w:rPr>
        <w:noBreakHyphen/>
      </w:r>
      <w:r w:rsidRPr="00AC2EFA">
        <w:rPr>
          <w:rFonts w:cs="Times New Roman"/>
        </w:rPr>
        <w:t>stage renal disease, or his designee, for the patient</w:t>
      </w:r>
      <w:r w:rsidRPr="008C7342">
        <w:rPr>
          <w:rFonts w:cs="Times New Roman"/>
        </w:rPr>
        <w:t>’</w:t>
      </w:r>
      <w:r w:rsidRPr="00AC2EFA">
        <w:rPr>
          <w:rFonts w:cs="Times New Roman"/>
        </w:rPr>
        <w:t>s self</w:t>
      </w:r>
      <w:r>
        <w:rPr>
          <w:rFonts w:cs="Times New Roman"/>
        </w:rPr>
        <w:noBreakHyphen/>
      </w:r>
      <w:r w:rsidRPr="00AC2EFA">
        <w:rPr>
          <w:rFonts w:cs="Times New Roman"/>
        </w:rPr>
        <w:t>administration of dialysis therapy, or to a health care provider or institution for administration or delivery of dialysis therapy to a patient with end</w:t>
      </w:r>
      <w:r>
        <w:rPr>
          <w:rFonts w:cs="Times New Roman"/>
        </w:rPr>
        <w:noBreakHyphen/>
      </w:r>
      <w:r w:rsidRPr="00AC2EFA">
        <w:rPr>
          <w:rFonts w:cs="Times New Roman"/>
        </w:rPr>
        <w:t>stage renal disease.</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cs="Times New Roman"/>
        </w:rPr>
        <w:tab/>
        <w:t>(D)</w:t>
      </w:r>
      <w:r w:rsidRPr="00AC2EFA">
        <w:rPr>
          <w:rFonts w:cs="Times New Roman"/>
        </w:rPr>
        <w:tab/>
        <w:t>The provisions of this section do not waive any other requirements to obtain licensure, permits, or certification as required by law to possess legend drug products. A facility engaged in an activity related to the delivery or distribution of legend drugs still shall hold the requisite licensure or drug permits required by law.”</w:t>
      </w:r>
    </w:p>
    <w:p w:rsidR="00245E93"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F720C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Continuing education requirements, pharmacists</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AC2EFA">
        <w:rPr>
          <w:rFonts w:eastAsia="Calibri" w:cs="Times New Roman"/>
          <w:u w:color="000000"/>
        </w:rPr>
        <w:t>SECTION</w:t>
      </w:r>
      <w:r w:rsidRPr="00AC2EFA">
        <w:rPr>
          <w:rFonts w:eastAsia="Calibri" w:cs="Times New Roman"/>
          <w:u w:color="000000"/>
        </w:rPr>
        <w:tab/>
        <w:t>2.</w:t>
      </w:r>
      <w:r w:rsidRPr="00AC2EFA">
        <w:rPr>
          <w:rFonts w:eastAsia="Calibri" w:cs="Times New Roman"/>
          <w:u w:color="000000"/>
        </w:rPr>
        <w:tab/>
        <w:t>Section 40</w:t>
      </w:r>
      <w:r>
        <w:rPr>
          <w:rFonts w:eastAsia="Calibri" w:cs="Times New Roman"/>
          <w:u w:color="000000"/>
        </w:rPr>
        <w:noBreakHyphen/>
      </w:r>
      <w:r w:rsidRPr="00AC2EFA">
        <w:rPr>
          <w:rFonts w:eastAsia="Calibri" w:cs="Times New Roman"/>
          <w:u w:color="000000"/>
        </w:rPr>
        <w:t>43</w:t>
      </w:r>
      <w:r>
        <w:rPr>
          <w:rFonts w:eastAsia="Calibri" w:cs="Times New Roman"/>
          <w:u w:color="000000"/>
        </w:rPr>
        <w:noBreakHyphen/>
      </w:r>
      <w:r w:rsidRPr="00AC2EFA">
        <w:rPr>
          <w:rFonts w:eastAsia="Calibri" w:cs="Times New Roman"/>
          <w:u w:color="000000"/>
        </w:rPr>
        <w:t>130(B) of the 1976 Code is amended to read:</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C2EFA">
        <w:rPr>
          <w:rFonts w:eastAsia="Calibri" w:cs="Times New Roman"/>
          <w:u w:color="000000"/>
        </w:rPr>
        <w:tab/>
        <w:t>“(B)</w:t>
      </w:r>
      <w:r w:rsidRPr="00AC2EFA">
        <w:rPr>
          <w:rFonts w:eastAsia="Calibri" w:cs="Times New Roman"/>
          <w:u w:color="000000"/>
        </w:rPr>
        <w:tab/>
        <w:t>Each licensed pharmacist, as a condition of an active status license renewal, shall complete fifteen hours (1.5 CEU</w:t>
      </w:r>
      <w:r w:rsidRPr="008C7342">
        <w:rPr>
          <w:rFonts w:eastAsia="Calibri" w:cs="Times New Roman"/>
          <w:u w:color="000000"/>
        </w:rPr>
        <w:t>’</w:t>
      </w:r>
      <w:r w:rsidRPr="00AC2EFA">
        <w:rPr>
          <w:rFonts w:eastAsia="Calibri" w:cs="Times New Roman"/>
          <w:u w:color="000000"/>
        </w:rPr>
        <w:t>s) of American Council on Pharmaceutical Education (ACPE) accredited continuing pharmacy education or continuing medical education (CME), Category I, or both, each license year</w:t>
      </w:r>
      <w:r>
        <w:rPr>
          <w:rFonts w:eastAsia="Calibri"/>
          <w:u w:color="000000"/>
        </w:rPr>
        <w:t>.</w:t>
      </w:r>
      <w:r w:rsidRPr="00AC2EFA">
        <w:rPr>
          <w:rFonts w:eastAsia="Calibri"/>
          <w:u w:color="000000"/>
        </w:rPr>
        <w:t xml:space="preserve"> </w:t>
      </w:r>
      <w:r w:rsidRPr="00AC2EFA">
        <w:rPr>
          <w:rFonts w:eastAsia="Calibri" w:cs="Times New Roman"/>
          <w:u w:color="000000"/>
        </w:rPr>
        <w:t>At least fifty percent of the total number of hours required must be in drug therapy or patient management and at least one hour must be related to approved procedures for monitoring controlled substances listed in Schedules II, III, and IV of the schedules provided for in Sections 44</w:t>
      </w:r>
      <w:r>
        <w:rPr>
          <w:rFonts w:eastAsia="Calibri" w:cs="Times New Roman"/>
          <w:u w:color="000000"/>
        </w:rPr>
        <w:noBreakHyphen/>
      </w:r>
      <w:r w:rsidRPr="00AC2EFA">
        <w:rPr>
          <w:rFonts w:eastAsia="Calibri" w:cs="Times New Roman"/>
          <w:u w:color="000000"/>
        </w:rPr>
        <w:t>53</w:t>
      </w:r>
      <w:r>
        <w:rPr>
          <w:rFonts w:eastAsia="Calibri" w:cs="Times New Roman"/>
          <w:u w:color="000000"/>
        </w:rPr>
        <w:noBreakHyphen/>
      </w:r>
      <w:r w:rsidRPr="00AC2EFA">
        <w:rPr>
          <w:rFonts w:eastAsia="Calibri" w:cs="Times New Roman"/>
          <w:u w:color="000000"/>
        </w:rPr>
        <w:t>210, 44</w:t>
      </w:r>
      <w:r>
        <w:rPr>
          <w:rFonts w:eastAsia="Calibri" w:cs="Times New Roman"/>
          <w:u w:color="000000"/>
        </w:rPr>
        <w:noBreakHyphen/>
      </w:r>
      <w:r w:rsidRPr="00AC2EFA">
        <w:rPr>
          <w:rFonts w:eastAsia="Calibri" w:cs="Times New Roman"/>
          <w:u w:color="000000"/>
        </w:rPr>
        <w:t>53</w:t>
      </w:r>
      <w:r>
        <w:rPr>
          <w:rFonts w:eastAsia="Calibri" w:cs="Times New Roman"/>
          <w:u w:color="000000"/>
        </w:rPr>
        <w:noBreakHyphen/>
      </w:r>
      <w:r w:rsidRPr="00AC2EFA">
        <w:rPr>
          <w:rFonts w:eastAsia="Calibri" w:cs="Times New Roman"/>
          <w:u w:color="000000"/>
        </w:rPr>
        <w:t>230, and 44</w:t>
      </w:r>
      <w:r>
        <w:rPr>
          <w:rFonts w:eastAsia="Calibri" w:cs="Times New Roman"/>
          <w:u w:color="000000"/>
        </w:rPr>
        <w:noBreakHyphen/>
      </w:r>
      <w:r w:rsidRPr="00AC2EFA">
        <w:rPr>
          <w:rFonts w:eastAsia="Calibri" w:cs="Times New Roman"/>
          <w:u w:color="000000"/>
        </w:rPr>
        <w:t>53</w:t>
      </w:r>
      <w:r>
        <w:rPr>
          <w:rFonts w:eastAsia="Calibri" w:cs="Times New Roman"/>
          <w:u w:color="000000"/>
        </w:rPr>
        <w:noBreakHyphen/>
      </w:r>
      <w:r w:rsidRPr="00AC2EFA">
        <w:rPr>
          <w:rFonts w:eastAsia="Calibri" w:cs="Times New Roman"/>
          <w:u w:color="000000"/>
        </w:rPr>
        <w:t>250.”</w:t>
      </w:r>
    </w:p>
    <w:p w:rsidR="00245E93"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F720C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Continuing education requirements, pharmacy technicians</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AC2EFA">
        <w:rPr>
          <w:rFonts w:eastAsia="Calibri" w:cs="Times New Roman"/>
          <w:u w:color="000000"/>
        </w:rPr>
        <w:t>SECTION</w:t>
      </w:r>
      <w:r w:rsidRPr="00AC2EFA">
        <w:rPr>
          <w:rFonts w:eastAsia="Calibri" w:cs="Times New Roman"/>
          <w:u w:color="000000"/>
        </w:rPr>
        <w:tab/>
        <w:t>3.</w:t>
      </w:r>
      <w:r w:rsidRPr="00AC2EFA">
        <w:rPr>
          <w:rFonts w:eastAsia="Calibri" w:cs="Times New Roman"/>
          <w:u w:color="000000"/>
        </w:rPr>
        <w:tab/>
        <w:t>Section 40</w:t>
      </w:r>
      <w:r>
        <w:rPr>
          <w:rFonts w:eastAsia="Calibri" w:cs="Times New Roman"/>
          <w:u w:color="000000"/>
        </w:rPr>
        <w:noBreakHyphen/>
      </w:r>
      <w:r w:rsidRPr="00AC2EFA">
        <w:rPr>
          <w:rFonts w:eastAsia="Calibri" w:cs="Times New Roman"/>
          <w:u w:color="000000"/>
        </w:rPr>
        <w:t>43</w:t>
      </w:r>
      <w:r>
        <w:rPr>
          <w:rFonts w:eastAsia="Calibri" w:cs="Times New Roman"/>
          <w:u w:color="000000"/>
        </w:rPr>
        <w:noBreakHyphen/>
      </w:r>
      <w:r w:rsidRPr="00AC2EFA">
        <w:rPr>
          <w:rFonts w:eastAsia="Calibri" w:cs="Times New Roman"/>
          <w:u w:color="000000"/>
        </w:rPr>
        <w:t>130(G)(1) of the 1976 Code is amended to read:</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C2EFA">
        <w:rPr>
          <w:rFonts w:eastAsia="Calibri" w:cs="Times New Roman"/>
          <w:u w:color="000000"/>
        </w:rPr>
        <w:tab/>
        <w:t>“(1)</w:t>
      </w:r>
      <w:r w:rsidRPr="00AC2EFA">
        <w:rPr>
          <w:rFonts w:eastAsia="Calibri" w:cs="Times New Roman"/>
          <w:u w:color="000000"/>
        </w:rPr>
        <w:tab/>
        <w:t>As a condition of registration renewal, a registered pharmacy technician shall complete ten hours of American Council on Pharmaceutical Education or CME I approved continuing education each year, beginning with the next rene</w:t>
      </w:r>
      <w:r>
        <w:rPr>
          <w:rFonts w:eastAsia="Calibri" w:cs="Times New Roman"/>
          <w:u w:color="000000"/>
        </w:rPr>
        <w:t>wal period after June 30, 2003.</w:t>
      </w:r>
      <w:r w:rsidRPr="00AC2EFA">
        <w:rPr>
          <w:rFonts w:eastAsia="Calibri" w:cs="Times New Roman"/>
          <w:u w:color="000000"/>
        </w:rPr>
        <w:t>”</w:t>
      </w:r>
    </w:p>
    <w:p w:rsidR="00245E93"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F720C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45E93" w:rsidRPr="00AC2EFA"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2EFA">
        <w:rPr>
          <w:rFonts w:eastAsia="Times New Roman" w:cs="Times New Roman"/>
        </w:rPr>
        <w:t>SECTION</w:t>
      </w:r>
      <w:r w:rsidRPr="00AC2EFA">
        <w:rPr>
          <w:rFonts w:eastAsia="Times New Roman" w:cs="Times New Roman"/>
        </w:rPr>
        <w:tab/>
        <w:t>4.</w:t>
      </w:r>
      <w:r w:rsidRPr="00AC2EFA">
        <w:rPr>
          <w:rFonts w:eastAsia="Times New Roman" w:cs="Times New Roman"/>
        </w:rPr>
        <w:tab/>
        <w:t>This act takes effect upon approval by the Governor.</w:t>
      </w:r>
    </w:p>
    <w:p w:rsidR="00245E93"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45E93" w:rsidRDefault="00245E93"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245E93" w:rsidRDefault="00245E93" w:rsidP="00245E93">
      <w:pPr>
        <w:jc w:val="both"/>
        <w:rPr>
          <w:color w:val="000000" w:themeColor="text1"/>
        </w:rPr>
      </w:pPr>
    </w:p>
    <w:p w:rsidR="00245E93" w:rsidRDefault="00245E93" w:rsidP="00245E93">
      <w:pPr>
        <w:jc w:val="both"/>
        <w:rPr>
          <w:color w:val="000000" w:themeColor="text1"/>
        </w:rPr>
      </w:pPr>
      <w:r>
        <w:rPr>
          <w:color w:val="000000" w:themeColor="text1"/>
        </w:rPr>
        <w:t>Approved the 17</w:t>
      </w:r>
      <w:r w:rsidRPr="00D639BD">
        <w:rPr>
          <w:color w:val="000000" w:themeColor="text1"/>
          <w:vertAlign w:val="superscript"/>
        </w:rPr>
        <w:t>th</w:t>
      </w:r>
      <w:r>
        <w:rPr>
          <w:color w:val="000000" w:themeColor="text1"/>
        </w:rPr>
        <w:t xml:space="preserve"> day of May, 2021. </w:t>
      </w:r>
    </w:p>
    <w:p w:rsidR="00245E93" w:rsidRDefault="00245E93" w:rsidP="00245E93">
      <w:pPr>
        <w:jc w:val="center"/>
        <w:rPr>
          <w:color w:val="000000" w:themeColor="text1"/>
        </w:rPr>
      </w:pPr>
    </w:p>
    <w:p w:rsidR="00245E93" w:rsidRDefault="00245E93" w:rsidP="00245E93">
      <w:pPr>
        <w:jc w:val="center"/>
        <w:rPr>
          <w:color w:val="000000" w:themeColor="text1"/>
        </w:rPr>
      </w:pPr>
      <w:r>
        <w:rPr>
          <w:color w:val="000000" w:themeColor="text1"/>
        </w:rPr>
        <w:t>__________</w:t>
      </w:r>
    </w:p>
    <w:p w:rsidR="00977ADC" w:rsidRPr="001E5490" w:rsidRDefault="00977ADC" w:rsidP="00245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77ADC" w:rsidRPr="001E5490" w:rsidSect="00977ADC">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4A1F" w:rsidRDefault="00C94A1F" w:rsidP="007D5FAC">
      <w:r>
        <w:separator/>
      </w:r>
    </w:p>
  </w:endnote>
  <w:endnote w:type="continuationSeparator" w:id="0">
    <w:p w:rsidR="00C94A1F" w:rsidRDefault="00C94A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DC" w:rsidRPr="00977ADC" w:rsidRDefault="00977ADC" w:rsidP="00977AD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45E93">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7ADC" w:rsidRDefault="00977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4A1F" w:rsidRDefault="00C94A1F" w:rsidP="007D5FAC">
      <w:r>
        <w:separator/>
      </w:r>
    </w:p>
  </w:footnote>
  <w:footnote w:type="continuationSeparator" w:id="0">
    <w:p w:rsidR="00C94A1F" w:rsidRDefault="00C94A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27"/>
    <w:docVar w:name="ActSecretary" w:val="Turner"/>
    <w:docVar w:name="ActSIdno" w:val="(85)  427WAB21"/>
    <w:docVar w:name="clipname" w:val="427WAB21"/>
    <w:docVar w:name="dvBillNumber" w:val="427"/>
    <w:docVar w:name="dvBillNumberPrefix" w:val="S"/>
    <w:docVar w:name="dvOriginalBody" w:val="Senate"/>
    <w:docVar w:name="OrigSENATEBillNo" w:val="427"/>
    <w:docVar w:name="SENATEACTFULLPATH" w:val="L:\COUNCIL\ACTS\427WAB21.DOCX"/>
    <w:docVar w:name="WhatActtype" w:val="AN ACT"/>
  </w:docVars>
  <w:rsids>
    <w:rsidRoot w:val="00C94A1F"/>
    <w:rsid w:val="00002DE0"/>
    <w:rsid w:val="00012B1C"/>
    <w:rsid w:val="00017F29"/>
    <w:rsid w:val="00020349"/>
    <w:rsid w:val="00021B0B"/>
    <w:rsid w:val="00030487"/>
    <w:rsid w:val="00040C05"/>
    <w:rsid w:val="000449A6"/>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708"/>
    <w:rsid w:val="00114830"/>
    <w:rsid w:val="00114E88"/>
    <w:rsid w:val="001237B9"/>
    <w:rsid w:val="00125FC3"/>
    <w:rsid w:val="00131CE5"/>
    <w:rsid w:val="00134FF6"/>
    <w:rsid w:val="00135DDF"/>
    <w:rsid w:val="00136AA0"/>
    <w:rsid w:val="00141278"/>
    <w:rsid w:val="0014525A"/>
    <w:rsid w:val="001519E2"/>
    <w:rsid w:val="001616D5"/>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1F25"/>
    <w:rsid w:val="001D279C"/>
    <w:rsid w:val="001D550F"/>
    <w:rsid w:val="001D5B5B"/>
    <w:rsid w:val="001E0CFB"/>
    <w:rsid w:val="001E47D6"/>
    <w:rsid w:val="001E5490"/>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5E93"/>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AF5"/>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547F"/>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892"/>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479F2"/>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880"/>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539"/>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7133"/>
    <w:rsid w:val="00892AF7"/>
    <w:rsid w:val="008A3C50"/>
    <w:rsid w:val="008B2051"/>
    <w:rsid w:val="008B3E9E"/>
    <w:rsid w:val="008B48BD"/>
    <w:rsid w:val="008B552D"/>
    <w:rsid w:val="008C325E"/>
    <w:rsid w:val="008C7342"/>
    <w:rsid w:val="008E03BA"/>
    <w:rsid w:val="008E1BCF"/>
    <w:rsid w:val="008E3A53"/>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77ADC"/>
    <w:rsid w:val="00980444"/>
    <w:rsid w:val="00982E93"/>
    <w:rsid w:val="00990677"/>
    <w:rsid w:val="00997D30"/>
    <w:rsid w:val="009A197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74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1EFE"/>
    <w:rsid w:val="00B374C4"/>
    <w:rsid w:val="00B408FD"/>
    <w:rsid w:val="00B417DE"/>
    <w:rsid w:val="00B4797F"/>
    <w:rsid w:val="00B516BA"/>
    <w:rsid w:val="00B520A2"/>
    <w:rsid w:val="00B62CAB"/>
    <w:rsid w:val="00B72564"/>
    <w:rsid w:val="00B72ED3"/>
    <w:rsid w:val="00B73571"/>
    <w:rsid w:val="00B74177"/>
    <w:rsid w:val="00B77C2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76512"/>
    <w:rsid w:val="00C837F6"/>
    <w:rsid w:val="00C92B7D"/>
    <w:rsid w:val="00C92E2B"/>
    <w:rsid w:val="00C94A1F"/>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34A5"/>
    <w:rsid w:val="00F669CB"/>
    <w:rsid w:val="00F66E0E"/>
    <w:rsid w:val="00F720CA"/>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76B246D-3AD2-48F7-9672-3C58E028E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77A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479F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77AD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8713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18.docx" TargetMode="External"/><Relationship Id="rId13" Type="http://schemas.openxmlformats.org/officeDocument/2006/relationships/hyperlink" Target="file:///h:\hj\20210302.docx" TargetMode="External"/><Relationship Id="rId18" Type="http://schemas.openxmlformats.org/officeDocument/2006/relationships/hyperlink" Target="file:///h:\hj\20210505.docx" TargetMode="External"/><Relationship Id="rId26" Type="http://schemas.openxmlformats.org/officeDocument/2006/relationships/hyperlink" Target="file:///p:\pprever\2021-22\427_20210429.docx" TargetMode="External"/><Relationship Id="rId3" Type="http://schemas.openxmlformats.org/officeDocument/2006/relationships/webSettings" Target="webSettings.xml"/><Relationship Id="rId21" Type="http://schemas.openxmlformats.org/officeDocument/2006/relationships/hyperlink" Target="file:///h:\sj\20210511.docx" TargetMode="External"/><Relationship Id="rId7" Type="http://schemas.openxmlformats.org/officeDocument/2006/relationships/hyperlink" Target="file:///h:\sj\20210112.docx" TargetMode="External"/><Relationship Id="rId12" Type="http://schemas.openxmlformats.org/officeDocument/2006/relationships/hyperlink" Target="file:///h:\sj\20210225.docx" TargetMode="External"/><Relationship Id="rId17" Type="http://schemas.openxmlformats.org/officeDocument/2006/relationships/hyperlink" Target="file:///h:\hj\20210505.docx" TargetMode="External"/><Relationship Id="rId25" Type="http://schemas.openxmlformats.org/officeDocument/2006/relationships/hyperlink" Target="file:///p:\pprever\2021-22\427_20210224.docx" TargetMode="External"/><Relationship Id="rId2" Type="http://schemas.openxmlformats.org/officeDocument/2006/relationships/settings" Target="settings.xml"/><Relationship Id="rId16" Type="http://schemas.openxmlformats.org/officeDocument/2006/relationships/hyperlink" Target="file:///h:\hj\20210505.docx" TargetMode="External"/><Relationship Id="rId20" Type="http://schemas.openxmlformats.org/officeDocument/2006/relationships/hyperlink" Target="file:///h:\sj\20210511.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224.docx" TargetMode="External"/><Relationship Id="rId24" Type="http://schemas.openxmlformats.org/officeDocument/2006/relationships/hyperlink" Target="file:///p:\pprever\2021-22\427_20210218.docx" TargetMode="External"/><Relationship Id="rId5" Type="http://schemas.openxmlformats.org/officeDocument/2006/relationships/endnotes" Target="endnotes.xml"/><Relationship Id="rId15" Type="http://schemas.openxmlformats.org/officeDocument/2006/relationships/hyperlink" Target="file:///h:\hj\20210429.docx" TargetMode="External"/><Relationship Id="rId23" Type="http://schemas.openxmlformats.org/officeDocument/2006/relationships/hyperlink" Target="file:///p:\pprever\2021-22\427_20210112.docx" TargetMode="External"/><Relationship Id="rId28" Type="http://schemas.openxmlformats.org/officeDocument/2006/relationships/footer" Target="footer1.xml"/><Relationship Id="rId10" Type="http://schemas.openxmlformats.org/officeDocument/2006/relationships/hyperlink" Target="file:///h:\sj\20210224.docx" TargetMode="External"/><Relationship Id="rId19" Type="http://schemas.openxmlformats.org/officeDocument/2006/relationships/hyperlink" Target="file:///h:\hj\20210506.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210224.docx" TargetMode="External"/><Relationship Id="rId14" Type="http://schemas.openxmlformats.org/officeDocument/2006/relationships/hyperlink" Target="file:///h:\hj\20210302.docx" TargetMode="External"/><Relationship Id="rId22" Type="http://schemas.openxmlformats.org/officeDocument/2006/relationships/hyperlink" Target="http://www.scstatehouse.gov/billsearch.php?billnumbers=427&amp;session=124&amp;summary=B" TargetMode="External"/><Relationship Id="rId27" Type="http://schemas.openxmlformats.org/officeDocument/2006/relationships/hyperlink" Target="file:///p:\pprever\2021-22\427_20210505.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1430</Words>
  <Characters>7597</Characters>
  <Application>Microsoft Office Word</Application>
  <DocSecurity>0</DocSecurity>
  <Lines>189</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427: Renal dialysis - South Carolina Legislature Online</dc:title>
  <dc:subject/>
  <dc:creator>Rebecca Turner</dc:creator>
  <cp:keywords/>
  <dc:description/>
  <cp:lastModifiedBy>Danny Crook</cp:lastModifiedBy>
  <cp:revision>2</cp:revision>
  <cp:lastPrinted>2009-02-19T22:23:00Z</cp:lastPrinted>
  <dcterms:created xsi:type="dcterms:W3CDTF">2021-06-14T13:01:00Z</dcterms:created>
  <dcterms:modified xsi:type="dcterms:W3CDTF">2021-06-14T13:01:00Z</dcterms:modified>
</cp:coreProperties>
</file>