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D35B9" w14:textId="77777777" w:rsidR="00B873DA" w:rsidRPr="00B873DA" w:rsidRDefault="00B873DA" w:rsidP="00B873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873DA">
        <w:rPr>
          <w:rFonts w:eastAsia="Times New Roman" w:cs="Times New Roman"/>
          <w:b/>
          <w:szCs w:val="20"/>
        </w:rPr>
        <w:t>South Carolina General Assembly</w:t>
      </w:r>
    </w:p>
    <w:p w14:paraId="08C2D240" w14:textId="77777777" w:rsidR="00B873DA" w:rsidRPr="00B873DA" w:rsidRDefault="00B873DA" w:rsidP="00B873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873DA">
        <w:rPr>
          <w:rFonts w:eastAsia="Times New Roman" w:cs="Times New Roman"/>
          <w:szCs w:val="20"/>
        </w:rPr>
        <w:t>124th Session, 2021-2022</w:t>
      </w:r>
    </w:p>
    <w:p w14:paraId="3508A523" w14:textId="77777777" w:rsidR="00B873DA" w:rsidRPr="00B873DA" w:rsidRDefault="00B873DA" w:rsidP="00B873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7B3F8EC" w14:textId="0B6C5D1F" w:rsidR="00B873DA" w:rsidRPr="00B873DA" w:rsidRDefault="0030146A" w:rsidP="00B873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A165, R221, H4837</w:t>
      </w:r>
    </w:p>
    <w:p w14:paraId="3E613AF8" w14:textId="77777777" w:rsidR="00B873DA" w:rsidRPr="00B873DA" w:rsidRDefault="00B873DA" w:rsidP="00B873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14:paraId="33200FA4" w14:textId="77777777" w:rsidR="00B873DA" w:rsidRPr="00B873DA" w:rsidRDefault="00B873DA" w:rsidP="00B873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873DA">
        <w:rPr>
          <w:rFonts w:eastAsia="Times New Roman" w:cs="Times New Roman"/>
          <w:b/>
          <w:szCs w:val="20"/>
        </w:rPr>
        <w:t>STATUS INFORMATION</w:t>
      </w:r>
    </w:p>
    <w:p w14:paraId="7004CE5B" w14:textId="77777777" w:rsidR="00B873DA" w:rsidRPr="00B873DA" w:rsidRDefault="00B873DA" w:rsidP="00B873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36D79B7" w14:textId="77777777" w:rsidR="00B873DA" w:rsidRPr="00B873DA" w:rsidRDefault="00B873DA" w:rsidP="00B873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873DA">
        <w:rPr>
          <w:rFonts w:eastAsia="Times New Roman" w:cs="Times New Roman"/>
          <w:szCs w:val="20"/>
        </w:rPr>
        <w:t>General Bill</w:t>
      </w:r>
    </w:p>
    <w:p w14:paraId="19E31050" w14:textId="77777777" w:rsidR="00B873DA" w:rsidRPr="00B873DA" w:rsidRDefault="00B873DA" w:rsidP="00B873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873DA">
        <w:rPr>
          <w:rFonts w:eastAsia="Times New Roman" w:cs="Times New Roman"/>
          <w:szCs w:val="20"/>
        </w:rPr>
        <w:t>Sponsors: Reps. Elliott, B. Cox, Felder, B. Newton, Pope, Wooten, Caskey, Collins, Haddon, Gilliam, W. Cox, Atkinson, Jefferson, Forrest, R. Williams, Bryant, T. Moore, Hardee, McGinnis, Anderson, Thigpen, Hayes, Rutherford, Hyde, Daning, Bennett, Huggins, M.M. Smith, White, V.S. Moss, Blackwell, Taylor, Ballentine, Henegan and Matthews</w:t>
      </w:r>
    </w:p>
    <w:p w14:paraId="36F594B2" w14:textId="77777777" w:rsidR="00B873DA" w:rsidRPr="00B873DA" w:rsidRDefault="00B873DA" w:rsidP="00B873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873DA">
        <w:rPr>
          <w:rFonts w:eastAsia="Times New Roman" w:cs="Times New Roman"/>
          <w:szCs w:val="20"/>
        </w:rPr>
        <w:t>Document Path: l:\council\bills\jn\3496wab22.docx</w:t>
      </w:r>
    </w:p>
    <w:p w14:paraId="06563D05" w14:textId="77777777" w:rsidR="00B873DA" w:rsidRPr="00B873DA" w:rsidRDefault="00B873DA" w:rsidP="00B873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6818E9E9" w14:textId="77777777" w:rsidR="00F2429E" w:rsidRDefault="00F2429E" w:rsidP="00B873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20, 2022</w:t>
      </w:r>
    </w:p>
    <w:p w14:paraId="0B4D72E4" w14:textId="77777777" w:rsidR="00F2429E" w:rsidRDefault="00F2429E" w:rsidP="00B873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15, 2022</w:t>
      </w:r>
    </w:p>
    <w:p w14:paraId="0D2251F5" w14:textId="77777777" w:rsidR="00F2429E" w:rsidRDefault="00F2429E" w:rsidP="00B873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3, 2022</w:t>
      </w:r>
    </w:p>
    <w:p w14:paraId="6698DAD6" w14:textId="77777777" w:rsidR="00F2429E" w:rsidRDefault="00F2429E" w:rsidP="00B873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11, 2022</w:t>
      </w:r>
    </w:p>
    <w:p w14:paraId="3587898E" w14:textId="77777777" w:rsidR="00F2429E" w:rsidRDefault="00F2429E" w:rsidP="00B873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13, 2022, Signed</w:t>
      </w:r>
    </w:p>
    <w:p w14:paraId="564371E8" w14:textId="77777777" w:rsidR="00F2429E" w:rsidRDefault="00F2429E" w:rsidP="00B873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5D371A08" w14:textId="2BB4E860" w:rsidR="00B873DA" w:rsidRPr="00B873DA" w:rsidRDefault="00B873DA" w:rsidP="00B873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873DA">
        <w:rPr>
          <w:rFonts w:eastAsia="Times New Roman" w:cs="Times New Roman"/>
          <w:szCs w:val="20"/>
        </w:rPr>
        <w:t>Summary: Optometry mobile units</w:t>
      </w:r>
    </w:p>
    <w:p w14:paraId="25EE9F27" w14:textId="77777777" w:rsidR="00B873DA" w:rsidRPr="00B873DA" w:rsidRDefault="00B873DA" w:rsidP="00B873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4E5C6F16" w14:textId="77777777" w:rsidR="00B873DA" w:rsidRPr="00B873DA" w:rsidRDefault="00B873DA" w:rsidP="00B873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4B1E899D" w14:textId="77777777" w:rsidR="00B873DA" w:rsidRPr="00B873DA" w:rsidRDefault="00B873DA" w:rsidP="00B873DA">
      <w:pPr>
        <w:widowControl w:val="0"/>
        <w:tabs>
          <w:tab w:val="center" w:pos="590"/>
          <w:tab w:val="center" w:pos="1440"/>
          <w:tab w:val="left" w:pos="1872"/>
          <w:tab w:val="left" w:pos="9187"/>
        </w:tabs>
        <w:rPr>
          <w:rFonts w:eastAsia="Times New Roman" w:cs="Times New Roman"/>
          <w:szCs w:val="20"/>
        </w:rPr>
      </w:pPr>
      <w:r w:rsidRPr="00B873DA">
        <w:rPr>
          <w:rFonts w:eastAsia="Times New Roman" w:cs="Times New Roman"/>
          <w:b/>
          <w:szCs w:val="20"/>
        </w:rPr>
        <w:t>HISTORY OF LEGISLATIVE ACTIONS</w:t>
      </w:r>
    </w:p>
    <w:p w14:paraId="6D923814" w14:textId="77777777" w:rsidR="00B873DA" w:rsidRPr="00B873DA" w:rsidRDefault="00B873DA" w:rsidP="00B873DA">
      <w:pPr>
        <w:widowControl w:val="0"/>
        <w:tabs>
          <w:tab w:val="center" w:pos="590"/>
          <w:tab w:val="center" w:pos="1440"/>
          <w:tab w:val="left" w:pos="1872"/>
          <w:tab w:val="left" w:pos="9187"/>
        </w:tabs>
        <w:rPr>
          <w:rFonts w:eastAsia="Times New Roman" w:cs="Times New Roman"/>
          <w:szCs w:val="20"/>
        </w:rPr>
      </w:pPr>
    </w:p>
    <w:p w14:paraId="1D7E54A0" w14:textId="77777777" w:rsidR="00B873DA" w:rsidRPr="00B873DA" w:rsidRDefault="00B873DA" w:rsidP="00B873DA">
      <w:pPr>
        <w:widowControl w:val="0"/>
        <w:tabs>
          <w:tab w:val="center" w:pos="590"/>
          <w:tab w:val="center" w:pos="1440"/>
          <w:tab w:val="left" w:pos="1872"/>
          <w:tab w:val="left" w:pos="9187"/>
        </w:tabs>
        <w:rPr>
          <w:rFonts w:eastAsia="Times New Roman" w:cs="Times New Roman"/>
          <w:szCs w:val="20"/>
        </w:rPr>
      </w:pPr>
      <w:r w:rsidRPr="00B873DA">
        <w:rPr>
          <w:rFonts w:eastAsia="Times New Roman" w:cs="Times New Roman"/>
          <w:szCs w:val="20"/>
          <w:u w:val="single"/>
        </w:rPr>
        <w:tab/>
        <w:t>Date</w:t>
      </w:r>
      <w:r w:rsidRPr="00B873DA">
        <w:rPr>
          <w:rFonts w:eastAsia="Times New Roman" w:cs="Times New Roman"/>
          <w:szCs w:val="20"/>
          <w:u w:val="single"/>
        </w:rPr>
        <w:tab/>
        <w:t>Body</w:t>
      </w:r>
      <w:r w:rsidRPr="00B873DA">
        <w:rPr>
          <w:rFonts w:eastAsia="Times New Roman" w:cs="Times New Roman"/>
          <w:szCs w:val="20"/>
          <w:u w:val="single"/>
        </w:rPr>
        <w:tab/>
        <w:t>Action Description with journal page number</w:t>
      </w:r>
      <w:r w:rsidRPr="00B873DA">
        <w:rPr>
          <w:rFonts w:eastAsia="Times New Roman" w:cs="Times New Roman"/>
          <w:szCs w:val="20"/>
          <w:u w:val="single"/>
        </w:rPr>
        <w:tab/>
      </w:r>
    </w:p>
    <w:p w14:paraId="0E716EFC" w14:textId="77777777" w:rsidR="0030146A" w:rsidRDefault="0030146A" w:rsidP="0030146A">
      <w:pPr>
        <w:widowControl w:val="0"/>
        <w:tabs>
          <w:tab w:val="right" w:pos="1008"/>
          <w:tab w:val="left" w:pos="1152"/>
          <w:tab w:val="left" w:pos="1872"/>
          <w:tab w:val="left" w:pos="9187"/>
        </w:tabs>
        <w:ind w:left="2088" w:hanging="2088"/>
        <w:rPr>
          <w:rFonts w:cs="Times New Roman"/>
        </w:rPr>
      </w:pPr>
      <w:r>
        <w:rPr>
          <w:rFonts w:cs="Times New Roman"/>
        </w:rPr>
        <w:tab/>
        <w:t>1/20/2022</w:t>
      </w:r>
      <w:r>
        <w:rPr>
          <w:rFonts w:cs="Times New Roman"/>
        </w:rPr>
        <w:tab/>
        <w:t>House</w:t>
      </w:r>
      <w:r>
        <w:rPr>
          <w:rFonts w:cs="Times New Roman"/>
        </w:rPr>
        <w:tab/>
        <w:t>Introduced and read first time (</w:t>
      </w:r>
      <w:hyperlink r:id="rId7" w:history="1">
        <w:r w:rsidRPr="00E25AE0">
          <w:rPr>
            <w:rStyle w:val="Hyperlink"/>
            <w:rFonts w:cs="Times New Roman"/>
          </w:rPr>
          <w:t>House Journal</w:t>
        </w:r>
        <w:r w:rsidRPr="00E25AE0">
          <w:rPr>
            <w:rStyle w:val="Hyperlink"/>
            <w:rFonts w:cs="Times New Roman"/>
          </w:rPr>
          <w:noBreakHyphen/>
          <w:t>page 32</w:t>
        </w:r>
      </w:hyperlink>
      <w:r>
        <w:rPr>
          <w:rFonts w:cs="Times New Roman"/>
        </w:rPr>
        <w:t>)</w:t>
      </w:r>
    </w:p>
    <w:p w14:paraId="30BB6CE0" w14:textId="77777777" w:rsidR="0030146A" w:rsidRDefault="0030146A" w:rsidP="0030146A">
      <w:pPr>
        <w:widowControl w:val="0"/>
        <w:tabs>
          <w:tab w:val="right" w:pos="1008"/>
          <w:tab w:val="left" w:pos="1152"/>
          <w:tab w:val="left" w:pos="1872"/>
          <w:tab w:val="left" w:pos="9187"/>
        </w:tabs>
        <w:ind w:left="2088" w:hanging="2088"/>
        <w:rPr>
          <w:rFonts w:cs="Times New Roman"/>
        </w:rPr>
      </w:pPr>
      <w:r>
        <w:rPr>
          <w:rFonts w:cs="Times New Roman"/>
        </w:rPr>
        <w:tab/>
        <w:t>1/20/2022</w:t>
      </w:r>
      <w:r>
        <w:rPr>
          <w:rFonts w:cs="Times New Roman"/>
        </w:rPr>
        <w:tab/>
        <w:t>House</w:t>
      </w:r>
      <w:r>
        <w:rPr>
          <w:rFonts w:cs="Times New Roman"/>
        </w:rPr>
        <w:tab/>
        <w:t xml:space="preserve">Referred to Committee on </w:t>
      </w:r>
      <w:r w:rsidRPr="00E25AE0">
        <w:rPr>
          <w:rFonts w:cs="Times New Roman"/>
          <w:b/>
        </w:rPr>
        <w:t>Labor, Commerce and Industry</w:t>
      </w:r>
      <w:r>
        <w:rPr>
          <w:rFonts w:cs="Times New Roman"/>
        </w:rPr>
        <w:t xml:space="preserve"> (</w:t>
      </w:r>
      <w:hyperlink r:id="rId8" w:history="1">
        <w:r w:rsidRPr="00E25AE0">
          <w:rPr>
            <w:rStyle w:val="Hyperlink"/>
            <w:rFonts w:cs="Times New Roman"/>
          </w:rPr>
          <w:t>House Journal</w:t>
        </w:r>
        <w:r w:rsidRPr="00E25AE0">
          <w:rPr>
            <w:rStyle w:val="Hyperlink"/>
            <w:rFonts w:cs="Times New Roman"/>
          </w:rPr>
          <w:noBreakHyphen/>
          <w:t>page 32</w:t>
        </w:r>
      </w:hyperlink>
      <w:bookmarkStart w:id="0" w:name="_GoBack"/>
      <w:bookmarkEnd w:id="0"/>
      <w:r>
        <w:rPr>
          <w:rFonts w:cs="Times New Roman"/>
        </w:rPr>
        <w:t>)</w:t>
      </w:r>
    </w:p>
    <w:p w14:paraId="214C911D" w14:textId="77777777" w:rsidR="0030146A" w:rsidRDefault="0030146A" w:rsidP="0030146A">
      <w:pPr>
        <w:widowControl w:val="0"/>
        <w:tabs>
          <w:tab w:val="right" w:pos="1008"/>
          <w:tab w:val="left" w:pos="1152"/>
          <w:tab w:val="left" w:pos="1872"/>
          <w:tab w:val="left" w:pos="9187"/>
        </w:tabs>
        <w:ind w:left="2088" w:hanging="2088"/>
        <w:rPr>
          <w:rFonts w:cs="Times New Roman"/>
        </w:rPr>
      </w:pPr>
      <w:r>
        <w:rPr>
          <w:rFonts w:cs="Times New Roman"/>
        </w:rPr>
        <w:tab/>
        <w:t>1/25/2022</w:t>
      </w:r>
      <w:r>
        <w:rPr>
          <w:rFonts w:cs="Times New Roman"/>
        </w:rPr>
        <w:tab/>
        <w:t>House</w:t>
      </w:r>
      <w:r>
        <w:rPr>
          <w:rFonts w:cs="Times New Roman"/>
        </w:rPr>
        <w:tab/>
        <w:t>Member(s) request name added as sponsor: Atkinson, Jefferson, Forrest, R.Williams, Bryant, T.Moore, Hardee, McGinnis, Anderson</w:t>
      </w:r>
    </w:p>
    <w:p w14:paraId="1167C0CE" w14:textId="77777777" w:rsidR="0030146A" w:rsidRDefault="0030146A" w:rsidP="0030146A">
      <w:pPr>
        <w:widowControl w:val="0"/>
        <w:tabs>
          <w:tab w:val="right" w:pos="1008"/>
          <w:tab w:val="left" w:pos="1152"/>
          <w:tab w:val="left" w:pos="1872"/>
          <w:tab w:val="left" w:pos="9187"/>
        </w:tabs>
        <w:ind w:left="2088" w:hanging="2088"/>
        <w:rPr>
          <w:rFonts w:cs="Times New Roman"/>
        </w:rPr>
      </w:pPr>
      <w:r>
        <w:rPr>
          <w:rFonts w:cs="Times New Roman"/>
        </w:rPr>
        <w:tab/>
        <w:t>1/26/2022</w:t>
      </w:r>
      <w:r>
        <w:rPr>
          <w:rFonts w:cs="Times New Roman"/>
        </w:rPr>
        <w:tab/>
        <w:t>House</w:t>
      </w:r>
      <w:r>
        <w:rPr>
          <w:rFonts w:cs="Times New Roman"/>
        </w:rPr>
        <w:tab/>
        <w:t>Member(s) request name added as sponsor: Thigpen, Hayes, Rutherford</w:t>
      </w:r>
    </w:p>
    <w:p w14:paraId="545C6C50" w14:textId="77777777" w:rsidR="0030146A" w:rsidRDefault="0030146A" w:rsidP="0030146A">
      <w:pPr>
        <w:widowControl w:val="0"/>
        <w:tabs>
          <w:tab w:val="right" w:pos="1008"/>
          <w:tab w:val="left" w:pos="1152"/>
          <w:tab w:val="left" w:pos="1872"/>
          <w:tab w:val="left" w:pos="9187"/>
        </w:tabs>
        <w:ind w:left="2088" w:hanging="2088"/>
        <w:rPr>
          <w:rFonts w:cs="Times New Roman"/>
        </w:rPr>
      </w:pPr>
      <w:r>
        <w:rPr>
          <w:rFonts w:cs="Times New Roman"/>
        </w:rPr>
        <w:tab/>
        <w:t>2/1/2022</w:t>
      </w:r>
      <w:r>
        <w:rPr>
          <w:rFonts w:cs="Times New Roman"/>
        </w:rPr>
        <w:tab/>
        <w:t>House</w:t>
      </w:r>
      <w:r>
        <w:rPr>
          <w:rFonts w:cs="Times New Roman"/>
        </w:rPr>
        <w:tab/>
        <w:t>Member(s) request name added as sponsor: Hyde</w:t>
      </w:r>
    </w:p>
    <w:p w14:paraId="78B40BDB" w14:textId="77777777" w:rsidR="0030146A" w:rsidRDefault="0030146A" w:rsidP="0030146A">
      <w:pPr>
        <w:widowControl w:val="0"/>
        <w:tabs>
          <w:tab w:val="right" w:pos="1008"/>
          <w:tab w:val="left" w:pos="1152"/>
          <w:tab w:val="left" w:pos="1872"/>
          <w:tab w:val="left" w:pos="9187"/>
        </w:tabs>
        <w:ind w:left="2088" w:hanging="2088"/>
        <w:rPr>
          <w:rFonts w:cs="Times New Roman"/>
        </w:rPr>
      </w:pPr>
      <w:r>
        <w:rPr>
          <w:rFonts w:cs="Times New Roman"/>
        </w:rPr>
        <w:tab/>
        <w:t>2/8/2022</w:t>
      </w:r>
      <w:r>
        <w:rPr>
          <w:rFonts w:cs="Times New Roman"/>
        </w:rPr>
        <w:tab/>
        <w:t>House</w:t>
      </w:r>
      <w:r>
        <w:rPr>
          <w:rFonts w:cs="Times New Roman"/>
        </w:rPr>
        <w:tab/>
        <w:t>Member(s) request name added as sponsor: Daning, Bennett, Huggins, M.M.Smith, White, V.S.Moss</w:t>
      </w:r>
    </w:p>
    <w:p w14:paraId="2E37C5BF" w14:textId="77777777" w:rsidR="0030146A" w:rsidRDefault="0030146A" w:rsidP="0030146A">
      <w:pPr>
        <w:widowControl w:val="0"/>
        <w:tabs>
          <w:tab w:val="right" w:pos="1008"/>
          <w:tab w:val="left" w:pos="1152"/>
          <w:tab w:val="left" w:pos="1872"/>
          <w:tab w:val="left" w:pos="9187"/>
        </w:tabs>
        <w:ind w:left="2088" w:hanging="2088"/>
        <w:rPr>
          <w:rFonts w:cs="Times New Roman"/>
        </w:rPr>
      </w:pPr>
      <w:r>
        <w:rPr>
          <w:rFonts w:cs="Times New Roman"/>
        </w:rPr>
        <w:tab/>
        <w:t>2/15/2022</w:t>
      </w:r>
      <w:r>
        <w:rPr>
          <w:rFonts w:cs="Times New Roman"/>
        </w:rPr>
        <w:tab/>
        <w:t>House</w:t>
      </w:r>
      <w:r>
        <w:rPr>
          <w:rFonts w:cs="Times New Roman"/>
        </w:rPr>
        <w:tab/>
        <w:t>Member(s) request name added as sponsor: Taylor, Ballentine</w:t>
      </w:r>
    </w:p>
    <w:p w14:paraId="2CAA0D86" w14:textId="77777777" w:rsidR="0030146A" w:rsidRDefault="0030146A" w:rsidP="0030146A">
      <w:pPr>
        <w:widowControl w:val="0"/>
        <w:tabs>
          <w:tab w:val="right" w:pos="1008"/>
          <w:tab w:val="left" w:pos="1152"/>
          <w:tab w:val="left" w:pos="1872"/>
          <w:tab w:val="left" w:pos="9187"/>
        </w:tabs>
        <w:ind w:left="2088" w:hanging="2088"/>
        <w:rPr>
          <w:rFonts w:cs="Times New Roman"/>
        </w:rPr>
      </w:pPr>
      <w:r>
        <w:rPr>
          <w:rFonts w:cs="Times New Roman"/>
        </w:rPr>
        <w:tab/>
        <w:t>2/22/2022</w:t>
      </w:r>
      <w:r>
        <w:rPr>
          <w:rFonts w:cs="Times New Roman"/>
        </w:rPr>
        <w:tab/>
        <w:t>House</w:t>
      </w:r>
      <w:r>
        <w:rPr>
          <w:rFonts w:cs="Times New Roman"/>
        </w:rPr>
        <w:tab/>
        <w:t>Member(s) request name added as sponsor: Henegan</w:t>
      </w:r>
    </w:p>
    <w:p w14:paraId="12D59F0E" w14:textId="77777777" w:rsidR="0030146A" w:rsidRDefault="0030146A" w:rsidP="0030146A">
      <w:pPr>
        <w:widowControl w:val="0"/>
        <w:tabs>
          <w:tab w:val="right" w:pos="1008"/>
          <w:tab w:val="left" w:pos="1152"/>
          <w:tab w:val="left" w:pos="1872"/>
          <w:tab w:val="left" w:pos="9187"/>
        </w:tabs>
        <w:ind w:left="2088" w:hanging="2088"/>
        <w:rPr>
          <w:rFonts w:cs="Times New Roman"/>
        </w:rPr>
      </w:pPr>
      <w:r>
        <w:rPr>
          <w:rFonts w:cs="Times New Roman"/>
        </w:rPr>
        <w:tab/>
        <w:t>3/9/2022</w:t>
      </w:r>
      <w:r>
        <w:rPr>
          <w:rFonts w:cs="Times New Roman"/>
        </w:rPr>
        <w:tab/>
        <w:t>House</w:t>
      </w:r>
      <w:r>
        <w:rPr>
          <w:rFonts w:cs="Times New Roman"/>
        </w:rPr>
        <w:tab/>
        <w:t xml:space="preserve">Committee report: Favorable with amendment </w:t>
      </w:r>
      <w:r w:rsidRPr="00E25AE0">
        <w:rPr>
          <w:rFonts w:cs="Times New Roman"/>
          <w:b/>
        </w:rPr>
        <w:t>Labor, Commerce and Industry</w:t>
      </w:r>
      <w:r>
        <w:rPr>
          <w:rFonts w:cs="Times New Roman"/>
        </w:rPr>
        <w:t xml:space="preserve"> (</w:t>
      </w:r>
      <w:hyperlink r:id="rId9" w:history="1">
        <w:r w:rsidRPr="00E25AE0">
          <w:rPr>
            <w:rStyle w:val="Hyperlink"/>
            <w:rFonts w:cs="Times New Roman"/>
          </w:rPr>
          <w:t>House Journal</w:t>
        </w:r>
        <w:r w:rsidRPr="00E25AE0">
          <w:rPr>
            <w:rStyle w:val="Hyperlink"/>
            <w:rFonts w:cs="Times New Roman"/>
          </w:rPr>
          <w:noBreakHyphen/>
          <w:t>page 2</w:t>
        </w:r>
      </w:hyperlink>
      <w:r>
        <w:rPr>
          <w:rFonts w:cs="Times New Roman"/>
        </w:rPr>
        <w:t>)</w:t>
      </w:r>
    </w:p>
    <w:p w14:paraId="2843999B" w14:textId="77777777" w:rsidR="0030146A" w:rsidRDefault="0030146A" w:rsidP="0030146A">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House</w:t>
      </w:r>
      <w:r>
        <w:rPr>
          <w:rFonts w:cs="Times New Roman"/>
        </w:rPr>
        <w:tab/>
        <w:t>Member(s) request name added as sponsor: Matthews</w:t>
      </w:r>
    </w:p>
    <w:p w14:paraId="446887A8" w14:textId="77777777" w:rsidR="0030146A" w:rsidRDefault="0030146A" w:rsidP="0030146A">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House</w:t>
      </w:r>
      <w:r>
        <w:rPr>
          <w:rFonts w:cs="Times New Roman"/>
        </w:rPr>
        <w:tab/>
        <w:t>Amended (</w:t>
      </w:r>
      <w:hyperlink r:id="rId10" w:history="1">
        <w:r w:rsidRPr="00E25AE0">
          <w:rPr>
            <w:rStyle w:val="Hyperlink"/>
            <w:rFonts w:cs="Times New Roman"/>
          </w:rPr>
          <w:t>House Journal</w:t>
        </w:r>
        <w:r w:rsidRPr="00E25AE0">
          <w:rPr>
            <w:rStyle w:val="Hyperlink"/>
            <w:rFonts w:cs="Times New Roman"/>
          </w:rPr>
          <w:noBreakHyphen/>
          <w:t>page 20</w:t>
        </w:r>
      </w:hyperlink>
      <w:r>
        <w:rPr>
          <w:rFonts w:cs="Times New Roman"/>
        </w:rPr>
        <w:t>)</w:t>
      </w:r>
    </w:p>
    <w:p w14:paraId="79290248" w14:textId="77777777" w:rsidR="0030146A" w:rsidRDefault="0030146A" w:rsidP="0030146A">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House</w:t>
      </w:r>
      <w:r>
        <w:rPr>
          <w:rFonts w:cs="Times New Roman"/>
        </w:rPr>
        <w:tab/>
        <w:t>Read second time (</w:t>
      </w:r>
      <w:hyperlink r:id="rId11" w:history="1">
        <w:r w:rsidRPr="00E25AE0">
          <w:rPr>
            <w:rStyle w:val="Hyperlink"/>
            <w:rFonts w:cs="Times New Roman"/>
          </w:rPr>
          <w:t>House Journal</w:t>
        </w:r>
        <w:r w:rsidRPr="00E25AE0">
          <w:rPr>
            <w:rStyle w:val="Hyperlink"/>
            <w:rFonts w:cs="Times New Roman"/>
          </w:rPr>
          <w:noBreakHyphen/>
          <w:t>page 20</w:t>
        </w:r>
      </w:hyperlink>
      <w:r>
        <w:rPr>
          <w:rFonts w:cs="Times New Roman"/>
        </w:rPr>
        <w:t>)</w:t>
      </w:r>
    </w:p>
    <w:p w14:paraId="35498496" w14:textId="77777777" w:rsidR="0030146A" w:rsidRDefault="0030146A" w:rsidP="0030146A">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House</w:t>
      </w:r>
      <w:r>
        <w:rPr>
          <w:rFonts w:cs="Times New Roman"/>
        </w:rPr>
        <w:tab/>
        <w:t>Roll call Yeas</w:t>
      </w:r>
      <w:r>
        <w:rPr>
          <w:rFonts w:cs="Times New Roman"/>
        </w:rPr>
        <w:noBreakHyphen/>
        <w:t>110  Nays</w:t>
      </w:r>
      <w:r>
        <w:rPr>
          <w:rFonts w:cs="Times New Roman"/>
        </w:rPr>
        <w:noBreakHyphen/>
        <w:t>0 (</w:t>
      </w:r>
      <w:hyperlink r:id="rId12" w:history="1">
        <w:r w:rsidRPr="00E25AE0">
          <w:rPr>
            <w:rStyle w:val="Hyperlink"/>
            <w:rFonts w:cs="Times New Roman"/>
          </w:rPr>
          <w:t>House Journal</w:t>
        </w:r>
        <w:r w:rsidRPr="00E25AE0">
          <w:rPr>
            <w:rStyle w:val="Hyperlink"/>
            <w:rFonts w:cs="Times New Roman"/>
          </w:rPr>
          <w:noBreakHyphen/>
          <w:t>page 26</w:t>
        </w:r>
      </w:hyperlink>
      <w:r>
        <w:rPr>
          <w:rFonts w:cs="Times New Roman"/>
        </w:rPr>
        <w:t>)</w:t>
      </w:r>
    </w:p>
    <w:p w14:paraId="60702EDB" w14:textId="77777777" w:rsidR="0030146A" w:rsidRDefault="0030146A" w:rsidP="0030146A">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House</w:t>
      </w:r>
      <w:r>
        <w:rPr>
          <w:rFonts w:cs="Times New Roman"/>
        </w:rPr>
        <w:tab/>
        <w:t>Unanimous consent for third reading on next legislative day (</w:t>
      </w:r>
      <w:hyperlink r:id="rId13" w:history="1">
        <w:r w:rsidRPr="00E25AE0">
          <w:rPr>
            <w:rStyle w:val="Hyperlink"/>
            <w:rFonts w:cs="Times New Roman"/>
          </w:rPr>
          <w:t>House Journal</w:t>
        </w:r>
        <w:r w:rsidRPr="00E25AE0">
          <w:rPr>
            <w:rStyle w:val="Hyperlink"/>
            <w:rFonts w:cs="Times New Roman"/>
          </w:rPr>
          <w:noBreakHyphen/>
          <w:t>page 27</w:t>
        </w:r>
      </w:hyperlink>
      <w:r>
        <w:rPr>
          <w:rFonts w:cs="Times New Roman"/>
        </w:rPr>
        <w:t>)</w:t>
      </w:r>
    </w:p>
    <w:p w14:paraId="4AC26285" w14:textId="77777777" w:rsidR="0030146A" w:rsidRDefault="0030146A" w:rsidP="0030146A">
      <w:pPr>
        <w:widowControl w:val="0"/>
        <w:tabs>
          <w:tab w:val="right" w:pos="1008"/>
          <w:tab w:val="left" w:pos="1152"/>
          <w:tab w:val="left" w:pos="1872"/>
          <w:tab w:val="left" w:pos="9187"/>
        </w:tabs>
        <w:ind w:left="2088" w:hanging="2088"/>
        <w:rPr>
          <w:rFonts w:cs="Times New Roman"/>
        </w:rPr>
      </w:pPr>
      <w:r>
        <w:rPr>
          <w:rFonts w:cs="Times New Roman"/>
        </w:rPr>
        <w:tab/>
        <w:t>3/11/2022</w:t>
      </w:r>
      <w:r>
        <w:rPr>
          <w:rFonts w:cs="Times New Roman"/>
        </w:rPr>
        <w:tab/>
        <w:t>House</w:t>
      </w:r>
      <w:r>
        <w:rPr>
          <w:rFonts w:cs="Times New Roman"/>
        </w:rPr>
        <w:tab/>
        <w:t>Read third time and sent to Senate</w:t>
      </w:r>
    </w:p>
    <w:p w14:paraId="1E4A75CA" w14:textId="77777777" w:rsidR="0030146A" w:rsidRDefault="0030146A" w:rsidP="0030146A">
      <w:pPr>
        <w:widowControl w:val="0"/>
        <w:tabs>
          <w:tab w:val="right" w:pos="1008"/>
          <w:tab w:val="left" w:pos="1152"/>
          <w:tab w:val="left" w:pos="1872"/>
          <w:tab w:val="left" w:pos="9187"/>
        </w:tabs>
        <w:ind w:left="2088" w:hanging="2088"/>
        <w:rPr>
          <w:rFonts w:cs="Times New Roman"/>
        </w:rPr>
      </w:pPr>
      <w:r>
        <w:rPr>
          <w:rFonts w:cs="Times New Roman"/>
        </w:rPr>
        <w:tab/>
        <w:t>3/11/2022</w:t>
      </w:r>
      <w:r>
        <w:rPr>
          <w:rFonts w:cs="Times New Roman"/>
        </w:rPr>
        <w:tab/>
      </w:r>
      <w:r>
        <w:rPr>
          <w:rFonts w:cs="Times New Roman"/>
        </w:rPr>
        <w:tab/>
        <w:t>Scrivener's error corrected</w:t>
      </w:r>
    </w:p>
    <w:p w14:paraId="29958852" w14:textId="77777777" w:rsidR="0030146A" w:rsidRDefault="0030146A" w:rsidP="0030146A">
      <w:pPr>
        <w:widowControl w:val="0"/>
        <w:tabs>
          <w:tab w:val="right" w:pos="1008"/>
          <w:tab w:val="left" w:pos="1152"/>
          <w:tab w:val="left" w:pos="1872"/>
          <w:tab w:val="left" w:pos="9187"/>
        </w:tabs>
        <w:ind w:left="2088" w:hanging="2088"/>
        <w:rPr>
          <w:rFonts w:cs="Times New Roman"/>
        </w:rPr>
      </w:pPr>
      <w:r>
        <w:rPr>
          <w:rFonts w:cs="Times New Roman"/>
        </w:rPr>
        <w:tab/>
        <w:t>3/15/2022</w:t>
      </w:r>
      <w:r>
        <w:rPr>
          <w:rFonts w:cs="Times New Roman"/>
        </w:rPr>
        <w:tab/>
        <w:t>Senate</w:t>
      </w:r>
      <w:r>
        <w:rPr>
          <w:rFonts w:cs="Times New Roman"/>
        </w:rPr>
        <w:tab/>
        <w:t>Introduced and read first time (</w:t>
      </w:r>
      <w:hyperlink r:id="rId14" w:history="1">
        <w:r w:rsidRPr="00E25AE0">
          <w:rPr>
            <w:rStyle w:val="Hyperlink"/>
            <w:rFonts w:cs="Times New Roman"/>
          </w:rPr>
          <w:t>Senate Journal</w:t>
        </w:r>
        <w:r w:rsidRPr="00E25AE0">
          <w:rPr>
            <w:rStyle w:val="Hyperlink"/>
            <w:rFonts w:cs="Times New Roman"/>
          </w:rPr>
          <w:noBreakHyphen/>
          <w:t>page 12</w:t>
        </w:r>
      </w:hyperlink>
      <w:r>
        <w:rPr>
          <w:rFonts w:cs="Times New Roman"/>
        </w:rPr>
        <w:t>)</w:t>
      </w:r>
    </w:p>
    <w:p w14:paraId="689B85A2" w14:textId="77777777" w:rsidR="0030146A" w:rsidRDefault="0030146A" w:rsidP="0030146A">
      <w:pPr>
        <w:widowControl w:val="0"/>
        <w:tabs>
          <w:tab w:val="right" w:pos="1008"/>
          <w:tab w:val="left" w:pos="1152"/>
          <w:tab w:val="left" w:pos="1872"/>
          <w:tab w:val="left" w:pos="9187"/>
        </w:tabs>
        <w:ind w:left="2088" w:hanging="2088"/>
        <w:rPr>
          <w:rFonts w:cs="Times New Roman"/>
        </w:rPr>
      </w:pPr>
      <w:r>
        <w:rPr>
          <w:rFonts w:cs="Times New Roman"/>
        </w:rPr>
        <w:tab/>
        <w:t>3/15/2022</w:t>
      </w:r>
      <w:r>
        <w:rPr>
          <w:rFonts w:cs="Times New Roman"/>
        </w:rPr>
        <w:tab/>
        <w:t>Senate</w:t>
      </w:r>
      <w:r>
        <w:rPr>
          <w:rFonts w:cs="Times New Roman"/>
        </w:rPr>
        <w:tab/>
        <w:t xml:space="preserve">Referred to Committee on </w:t>
      </w:r>
      <w:r w:rsidRPr="00E25AE0">
        <w:rPr>
          <w:rFonts w:cs="Times New Roman"/>
          <w:b/>
        </w:rPr>
        <w:t>Medical Affairs</w:t>
      </w:r>
      <w:r>
        <w:rPr>
          <w:rFonts w:cs="Times New Roman"/>
        </w:rPr>
        <w:t xml:space="preserve"> (</w:t>
      </w:r>
      <w:hyperlink r:id="rId15" w:history="1">
        <w:r w:rsidRPr="00E25AE0">
          <w:rPr>
            <w:rStyle w:val="Hyperlink"/>
            <w:rFonts w:cs="Times New Roman"/>
          </w:rPr>
          <w:t>Senate Journal</w:t>
        </w:r>
        <w:r w:rsidRPr="00E25AE0">
          <w:rPr>
            <w:rStyle w:val="Hyperlink"/>
            <w:rFonts w:cs="Times New Roman"/>
          </w:rPr>
          <w:noBreakHyphen/>
          <w:t>page 12</w:t>
        </w:r>
      </w:hyperlink>
      <w:r>
        <w:rPr>
          <w:rFonts w:cs="Times New Roman"/>
        </w:rPr>
        <w:t>)</w:t>
      </w:r>
    </w:p>
    <w:p w14:paraId="31627B82" w14:textId="77777777" w:rsidR="0030146A" w:rsidRDefault="0030146A" w:rsidP="0030146A">
      <w:pPr>
        <w:widowControl w:val="0"/>
        <w:tabs>
          <w:tab w:val="right" w:pos="1008"/>
          <w:tab w:val="left" w:pos="1152"/>
          <w:tab w:val="left" w:pos="1872"/>
          <w:tab w:val="left" w:pos="9187"/>
        </w:tabs>
        <w:ind w:left="2088" w:hanging="2088"/>
        <w:rPr>
          <w:rFonts w:cs="Times New Roman"/>
        </w:rPr>
      </w:pPr>
      <w:r>
        <w:rPr>
          <w:rFonts w:cs="Times New Roman"/>
        </w:rPr>
        <w:tab/>
        <w:t>4/21/2022</w:t>
      </w:r>
      <w:r>
        <w:rPr>
          <w:rFonts w:cs="Times New Roman"/>
        </w:rPr>
        <w:tab/>
        <w:t>Senate</w:t>
      </w:r>
      <w:r>
        <w:rPr>
          <w:rFonts w:cs="Times New Roman"/>
        </w:rPr>
        <w:tab/>
        <w:t xml:space="preserve">Committee report: Favorable with amendment </w:t>
      </w:r>
      <w:r w:rsidRPr="00E25AE0">
        <w:rPr>
          <w:rFonts w:cs="Times New Roman"/>
          <w:b/>
        </w:rPr>
        <w:t>Medical Affairs</w:t>
      </w:r>
      <w:r>
        <w:rPr>
          <w:rFonts w:cs="Times New Roman"/>
        </w:rPr>
        <w:t xml:space="preserve"> (</w:t>
      </w:r>
      <w:hyperlink r:id="rId16" w:history="1">
        <w:r w:rsidRPr="00E25AE0">
          <w:rPr>
            <w:rStyle w:val="Hyperlink"/>
            <w:rFonts w:cs="Times New Roman"/>
          </w:rPr>
          <w:t>Senate Journal</w:t>
        </w:r>
        <w:r w:rsidRPr="00E25AE0">
          <w:rPr>
            <w:rStyle w:val="Hyperlink"/>
            <w:rFonts w:cs="Times New Roman"/>
          </w:rPr>
          <w:noBreakHyphen/>
          <w:t>page 4</w:t>
        </w:r>
      </w:hyperlink>
      <w:r>
        <w:rPr>
          <w:rFonts w:cs="Times New Roman"/>
        </w:rPr>
        <w:t>)</w:t>
      </w:r>
    </w:p>
    <w:p w14:paraId="2A28F408" w14:textId="77777777" w:rsidR="0030146A" w:rsidRDefault="0030146A" w:rsidP="0030146A">
      <w:pPr>
        <w:widowControl w:val="0"/>
        <w:tabs>
          <w:tab w:val="right" w:pos="1008"/>
          <w:tab w:val="left" w:pos="1152"/>
          <w:tab w:val="left" w:pos="1872"/>
          <w:tab w:val="left" w:pos="9187"/>
        </w:tabs>
        <w:ind w:left="2088" w:hanging="2088"/>
        <w:rPr>
          <w:rFonts w:cs="Times New Roman"/>
        </w:rPr>
      </w:pPr>
      <w:r>
        <w:rPr>
          <w:rFonts w:cs="Times New Roman"/>
        </w:rPr>
        <w:tab/>
        <w:t>4/22/2022</w:t>
      </w:r>
      <w:r>
        <w:rPr>
          <w:rFonts w:cs="Times New Roman"/>
        </w:rPr>
        <w:tab/>
      </w:r>
      <w:r>
        <w:rPr>
          <w:rFonts w:cs="Times New Roman"/>
        </w:rPr>
        <w:tab/>
        <w:t>Scrivener's error corrected</w:t>
      </w:r>
    </w:p>
    <w:p w14:paraId="0026AD87" w14:textId="77777777" w:rsidR="0030146A" w:rsidRDefault="0030146A" w:rsidP="0030146A">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Senate</w:t>
      </w:r>
      <w:r>
        <w:rPr>
          <w:rFonts w:cs="Times New Roman"/>
        </w:rPr>
        <w:tab/>
        <w:t>Committee Amendment Adopted (</w:t>
      </w:r>
      <w:hyperlink r:id="rId17" w:history="1">
        <w:r w:rsidRPr="00E25AE0">
          <w:rPr>
            <w:rStyle w:val="Hyperlink"/>
            <w:rFonts w:cs="Times New Roman"/>
          </w:rPr>
          <w:t>Senate Journal</w:t>
        </w:r>
        <w:r w:rsidRPr="00E25AE0">
          <w:rPr>
            <w:rStyle w:val="Hyperlink"/>
            <w:rFonts w:cs="Times New Roman"/>
          </w:rPr>
          <w:noBreakHyphen/>
          <w:t>page 46</w:t>
        </w:r>
      </w:hyperlink>
      <w:r>
        <w:rPr>
          <w:rFonts w:cs="Times New Roman"/>
        </w:rPr>
        <w:t>)</w:t>
      </w:r>
    </w:p>
    <w:p w14:paraId="66DBC69E" w14:textId="77777777" w:rsidR="0030146A" w:rsidRDefault="0030146A" w:rsidP="0030146A">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Senate</w:t>
      </w:r>
      <w:r>
        <w:rPr>
          <w:rFonts w:cs="Times New Roman"/>
        </w:rPr>
        <w:tab/>
        <w:t>Read second time (</w:t>
      </w:r>
      <w:hyperlink r:id="rId18" w:history="1">
        <w:r w:rsidRPr="00E25AE0">
          <w:rPr>
            <w:rStyle w:val="Hyperlink"/>
            <w:rFonts w:cs="Times New Roman"/>
          </w:rPr>
          <w:t>Senate Journal</w:t>
        </w:r>
        <w:r w:rsidRPr="00E25AE0">
          <w:rPr>
            <w:rStyle w:val="Hyperlink"/>
            <w:rFonts w:cs="Times New Roman"/>
          </w:rPr>
          <w:noBreakHyphen/>
          <w:t>page 46</w:t>
        </w:r>
      </w:hyperlink>
      <w:r>
        <w:rPr>
          <w:rFonts w:cs="Times New Roman"/>
        </w:rPr>
        <w:t>)</w:t>
      </w:r>
    </w:p>
    <w:p w14:paraId="185F8C8B" w14:textId="77777777" w:rsidR="0030146A" w:rsidRDefault="0030146A" w:rsidP="0030146A">
      <w:pPr>
        <w:widowControl w:val="0"/>
        <w:tabs>
          <w:tab w:val="right" w:pos="1008"/>
          <w:tab w:val="left" w:pos="1152"/>
          <w:tab w:val="left" w:pos="1872"/>
          <w:tab w:val="left" w:pos="9187"/>
        </w:tabs>
        <w:ind w:left="2088" w:hanging="2088"/>
        <w:rPr>
          <w:rFonts w:cs="Times New Roman"/>
        </w:rPr>
      </w:pPr>
      <w:r>
        <w:rPr>
          <w:rFonts w:cs="Times New Roman"/>
        </w:rPr>
        <w:lastRenderedPageBreak/>
        <w:tab/>
        <w:t>5/3/2022</w:t>
      </w:r>
      <w:r>
        <w:rPr>
          <w:rFonts w:cs="Times New Roman"/>
        </w:rPr>
        <w:tab/>
        <w:t>Senate</w:t>
      </w:r>
      <w:r>
        <w:rPr>
          <w:rFonts w:cs="Times New Roman"/>
        </w:rPr>
        <w:tab/>
        <w:t>Roll call Ayes</w:t>
      </w:r>
      <w:r>
        <w:rPr>
          <w:rFonts w:cs="Times New Roman"/>
        </w:rPr>
        <w:noBreakHyphen/>
        <w:t>40  Nays</w:t>
      </w:r>
      <w:r>
        <w:rPr>
          <w:rFonts w:cs="Times New Roman"/>
        </w:rPr>
        <w:noBreakHyphen/>
        <w:t>0 (</w:t>
      </w:r>
      <w:hyperlink r:id="rId19" w:history="1">
        <w:r w:rsidRPr="00E25AE0">
          <w:rPr>
            <w:rStyle w:val="Hyperlink"/>
            <w:rFonts w:cs="Times New Roman"/>
          </w:rPr>
          <w:t>Senate Journal</w:t>
        </w:r>
        <w:r w:rsidRPr="00E25AE0">
          <w:rPr>
            <w:rStyle w:val="Hyperlink"/>
            <w:rFonts w:cs="Times New Roman"/>
          </w:rPr>
          <w:noBreakHyphen/>
          <w:t>page 46</w:t>
        </w:r>
      </w:hyperlink>
      <w:r>
        <w:rPr>
          <w:rFonts w:cs="Times New Roman"/>
        </w:rPr>
        <w:t>)</w:t>
      </w:r>
    </w:p>
    <w:p w14:paraId="249F7D00" w14:textId="77777777" w:rsidR="0030146A" w:rsidRDefault="0030146A" w:rsidP="0030146A">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r>
      <w:r>
        <w:rPr>
          <w:rFonts w:cs="Times New Roman"/>
        </w:rPr>
        <w:tab/>
        <w:t>Scrivener's error corrected</w:t>
      </w:r>
    </w:p>
    <w:p w14:paraId="158B2DF0" w14:textId="77777777" w:rsidR="0030146A" w:rsidRDefault="0030146A" w:rsidP="0030146A">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Read third time and returned to House with amendments (</w:t>
      </w:r>
      <w:hyperlink r:id="rId20" w:history="1">
        <w:r w:rsidRPr="00E25AE0">
          <w:rPr>
            <w:rStyle w:val="Hyperlink"/>
            <w:rFonts w:cs="Times New Roman"/>
          </w:rPr>
          <w:t>Senate Journal</w:t>
        </w:r>
        <w:r w:rsidRPr="00E25AE0">
          <w:rPr>
            <w:rStyle w:val="Hyperlink"/>
            <w:rFonts w:cs="Times New Roman"/>
          </w:rPr>
          <w:noBreakHyphen/>
          <w:t>page 39</w:t>
        </w:r>
      </w:hyperlink>
      <w:r>
        <w:rPr>
          <w:rFonts w:cs="Times New Roman"/>
        </w:rPr>
        <w:t>)</w:t>
      </w:r>
    </w:p>
    <w:p w14:paraId="176E07DD" w14:textId="77777777" w:rsidR="0030146A" w:rsidRDefault="0030146A" w:rsidP="0030146A">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Concurred in Senate amendment and enrolled (</w:t>
      </w:r>
      <w:hyperlink r:id="rId21" w:history="1">
        <w:r w:rsidRPr="00E25AE0">
          <w:rPr>
            <w:rStyle w:val="Hyperlink"/>
            <w:rFonts w:cs="Times New Roman"/>
          </w:rPr>
          <w:t>House Journal</w:t>
        </w:r>
        <w:r w:rsidRPr="00E25AE0">
          <w:rPr>
            <w:rStyle w:val="Hyperlink"/>
            <w:rFonts w:cs="Times New Roman"/>
          </w:rPr>
          <w:noBreakHyphen/>
          <w:t>page 80</w:t>
        </w:r>
      </w:hyperlink>
      <w:r>
        <w:rPr>
          <w:rFonts w:cs="Times New Roman"/>
        </w:rPr>
        <w:t>)</w:t>
      </w:r>
    </w:p>
    <w:p w14:paraId="73305B2F" w14:textId="77777777" w:rsidR="0030146A" w:rsidRDefault="0030146A" w:rsidP="0030146A">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Roll call Yeas</w:t>
      </w:r>
      <w:r>
        <w:rPr>
          <w:rFonts w:cs="Times New Roman"/>
        </w:rPr>
        <w:noBreakHyphen/>
        <w:t>101  Nays</w:t>
      </w:r>
      <w:r>
        <w:rPr>
          <w:rFonts w:cs="Times New Roman"/>
        </w:rPr>
        <w:noBreakHyphen/>
        <w:t>0 (</w:t>
      </w:r>
      <w:hyperlink r:id="rId22" w:history="1">
        <w:r w:rsidRPr="00E25AE0">
          <w:rPr>
            <w:rStyle w:val="Hyperlink"/>
            <w:rFonts w:cs="Times New Roman"/>
          </w:rPr>
          <w:t>House Journal</w:t>
        </w:r>
        <w:r w:rsidRPr="00E25AE0">
          <w:rPr>
            <w:rStyle w:val="Hyperlink"/>
            <w:rFonts w:cs="Times New Roman"/>
          </w:rPr>
          <w:noBreakHyphen/>
          <w:t>page 81</w:t>
        </w:r>
      </w:hyperlink>
      <w:r>
        <w:rPr>
          <w:rFonts w:cs="Times New Roman"/>
        </w:rPr>
        <w:t>)</w:t>
      </w:r>
    </w:p>
    <w:p w14:paraId="2127193B" w14:textId="77777777" w:rsidR="0030146A" w:rsidRDefault="0030146A" w:rsidP="0030146A">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221 (</w:t>
      </w:r>
      <w:hyperlink r:id="rId23" w:history="1">
        <w:r w:rsidRPr="00E25AE0">
          <w:rPr>
            <w:rStyle w:val="Hyperlink"/>
            <w:rFonts w:cs="Times New Roman"/>
          </w:rPr>
          <w:t>Senate Journal</w:t>
        </w:r>
        <w:r w:rsidRPr="00E25AE0">
          <w:rPr>
            <w:rStyle w:val="Hyperlink"/>
            <w:rFonts w:cs="Times New Roman"/>
          </w:rPr>
          <w:noBreakHyphen/>
          <w:t>page 226</w:t>
        </w:r>
      </w:hyperlink>
      <w:r>
        <w:rPr>
          <w:rFonts w:cs="Times New Roman"/>
        </w:rPr>
        <w:t>)</w:t>
      </w:r>
    </w:p>
    <w:p w14:paraId="73FFA959" w14:textId="77777777" w:rsidR="0030146A" w:rsidRDefault="0030146A" w:rsidP="0030146A">
      <w:pPr>
        <w:widowControl w:val="0"/>
        <w:tabs>
          <w:tab w:val="right" w:pos="1008"/>
          <w:tab w:val="left" w:pos="1152"/>
          <w:tab w:val="left" w:pos="1872"/>
          <w:tab w:val="left" w:pos="9187"/>
        </w:tabs>
        <w:ind w:left="2088" w:hanging="2088"/>
        <w:rPr>
          <w:rFonts w:cs="Times New Roman"/>
        </w:rPr>
      </w:pPr>
      <w:r>
        <w:rPr>
          <w:rFonts w:cs="Times New Roman"/>
        </w:rPr>
        <w:tab/>
        <w:t>5/13/2022</w:t>
      </w:r>
      <w:r>
        <w:rPr>
          <w:rFonts w:cs="Times New Roman"/>
        </w:rPr>
        <w:tab/>
      </w:r>
      <w:r>
        <w:rPr>
          <w:rFonts w:cs="Times New Roman"/>
        </w:rPr>
        <w:tab/>
        <w:t>Signed By Governor</w:t>
      </w:r>
    </w:p>
    <w:p w14:paraId="3210AF06" w14:textId="77777777" w:rsidR="0030146A" w:rsidRDefault="0030146A" w:rsidP="0030146A">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05/13/22</w:t>
      </w:r>
    </w:p>
    <w:p w14:paraId="45173E0A" w14:textId="77777777" w:rsidR="0030146A" w:rsidRDefault="0030146A" w:rsidP="0030146A">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165</w:t>
      </w:r>
    </w:p>
    <w:p w14:paraId="27B3DCB4" w14:textId="77777777" w:rsidR="0030146A" w:rsidRDefault="0030146A" w:rsidP="0030146A">
      <w:pPr>
        <w:widowControl w:val="0"/>
        <w:tabs>
          <w:tab w:val="right" w:pos="1008"/>
          <w:tab w:val="left" w:pos="1152"/>
          <w:tab w:val="left" w:pos="1872"/>
          <w:tab w:val="left" w:pos="9187"/>
        </w:tabs>
        <w:ind w:left="2088" w:hanging="2088"/>
        <w:rPr>
          <w:rFonts w:cs="Times New Roman"/>
        </w:rPr>
      </w:pPr>
    </w:p>
    <w:p w14:paraId="15635779" w14:textId="77777777" w:rsidR="00B873DA" w:rsidRPr="00B873DA" w:rsidRDefault="00B873DA" w:rsidP="00B873DA">
      <w:pPr>
        <w:widowControl w:val="0"/>
        <w:tabs>
          <w:tab w:val="right" w:pos="1008"/>
          <w:tab w:val="left" w:pos="1152"/>
          <w:tab w:val="left" w:pos="1872"/>
          <w:tab w:val="left" w:pos="9187"/>
        </w:tabs>
        <w:ind w:left="2088" w:hanging="2088"/>
        <w:rPr>
          <w:rFonts w:eastAsia="Times New Roman" w:cs="Times New Roman"/>
          <w:szCs w:val="20"/>
        </w:rPr>
      </w:pPr>
      <w:r w:rsidRPr="00B873DA">
        <w:rPr>
          <w:rFonts w:eastAsia="Times New Roman" w:cs="Times New Roman"/>
          <w:szCs w:val="20"/>
        </w:rPr>
        <w:t xml:space="preserve">View the latest </w:t>
      </w:r>
      <w:hyperlink r:id="rId24" w:history="1">
        <w:r w:rsidRPr="00B873DA">
          <w:rPr>
            <w:rFonts w:eastAsia="Times New Roman" w:cs="Times New Roman"/>
            <w:color w:val="0000FF" w:themeColor="hyperlink"/>
            <w:szCs w:val="20"/>
            <w:u w:val="single"/>
          </w:rPr>
          <w:t>legislative information</w:t>
        </w:r>
      </w:hyperlink>
      <w:r w:rsidRPr="00B873DA">
        <w:rPr>
          <w:rFonts w:eastAsia="Times New Roman" w:cs="Times New Roman"/>
          <w:szCs w:val="20"/>
        </w:rPr>
        <w:t xml:space="preserve"> at the website</w:t>
      </w:r>
    </w:p>
    <w:p w14:paraId="1F1F7C20" w14:textId="77777777" w:rsidR="00B873DA" w:rsidRPr="00B873DA" w:rsidRDefault="00B873DA" w:rsidP="00B873DA">
      <w:pPr>
        <w:widowControl w:val="0"/>
        <w:tabs>
          <w:tab w:val="right" w:pos="1008"/>
          <w:tab w:val="left" w:pos="1152"/>
          <w:tab w:val="left" w:pos="1872"/>
          <w:tab w:val="left" w:pos="9187"/>
        </w:tabs>
        <w:ind w:left="2088" w:hanging="2088"/>
        <w:rPr>
          <w:rFonts w:eastAsia="Times New Roman" w:cs="Times New Roman"/>
          <w:szCs w:val="20"/>
        </w:rPr>
      </w:pPr>
    </w:p>
    <w:p w14:paraId="15E98FD3" w14:textId="77777777" w:rsidR="00B873DA" w:rsidRPr="00B873DA" w:rsidRDefault="00B873DA" w:rsidP="00B873DA">
      <w:pPr>
        <w:widowControl w:val="0"/>
        <w:tabs>
          <w:tab w:val="right" w:pos="1008"/>
          <w:tab w:val="left" w:pos="1152"/>
          <w:tab w:val="left" w:pos="1872"/>
          <w:tab w:val="left" w:pos="9187"/>
        </w:tabs>
        <w:ind w:left="2088" w:hanging="2088"/>
        <w:rPr>
          <w:rFonts w:eastAsia="Times New Roman" w:cs="Times New Roman"/>
          <w:szCs w:val="20"/>
        </w:rPr>
      </w:pPr>
    </w:p>
    <w:p w14:paraId="3C3F4DF8" w14:textId="77777777" w:rsidR="00B873DA" w:rsidRPr="00B873DA" w:rsidRDefault="00B873DA" w:rsidP="00B873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873DA">
        <w:rPr>
          <w:rFonts w:eastAsia="Times New Roman" w:cs="Times New Roman"/>
          <w:b/>
          <w:szCs w:val="20"/>
        </w:rPr>
        <w:t>VERSIONS OF THIS BILL</w:t>
      </w:r>
    </w:p>
    <w:p w14:paraId="639F0566" w14:textId="77777777" w:rsidR="00B873DA" w:rsidRPr="00B873DA" w:rsidRDefault="00B873DA" w:rsidP="00B873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669EFFE1" w14:textId="01D7E5A3" w:rsidR="00B873DA" w:rsidRPr="00B873DA" w:rsidRDefault="003166FF" w:rsidP="00B873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B873DA" w:rsidRPr="00B873DA">
          <w:rPr>
            <w:rFonts w:eastAsia="Times New Roman" w:cs="Times New Roman"/>
            <w:color w:val="0000FF" w:themeColor="hyperlink"/>
            <w:szCs w:val="20"/>
            <w:u w:val="single"/>
          </w:rPr>
          <w:t>1/20/2022</w:t>
        </w:r>
      </w:hyperlink>
    </w:p>
    <w:p w14:paraId="7CCB552B" w14:textId="52914627" w:rsidR="00B873DA" w:rsidRPr="00B873DA" w:rsidRDefault="003166FF" w:rsidP="00B87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B873DA" w:rsidRPr="00B873DA">
          <w:rPr>
            <w:rFonts w:eastAsia="Times New Roman" w:cs="Times New Roman"/>
            <w:color w:val="0000FF" w:themeColor="hyperlink"/>
            <w:szCs w:val="20"/>
            <w:u w:val="single"/>
          </w:rPr>
          <w:t>3/9/2022</w:t>
        </w:r>
      </w:hyperlink>
    </w:p>
    <w:p w14:paraId="1F8F4B2F" w14:textId="2A3D18E5" w:rsidR="00B873DA" w:rsidRPr="00B873DA" w:rsidRDefault="003166FF" w:rsidP="00B87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B873DA" w:rsidRPr="00B873DA">
          <w:rPr>
            <w:rFonts w:eastAsia="Times New Roman" w:cs="Times New Roman"/>
            <w:color w:val="0000FF" w:themeColor="hyperlink"/>
            <w:szCs w:val="20"/>
            <w:u w:val="single"/>
          </w:rPr>
          <w:t>3/10/2022</w:t>
        </w:r>
      </w:hyperlink>
    </w:p>
    <w:p w14:paraId="57440797" w14:textId="04F0C1B1" w:rsidR="00B873DA" w:rsidRPr="00B873DA" w:rsidRDefault="003166FF" w:rsidP="00B87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B873DA" w:rsidRPr="00B873DA">
          <w:rPr>
            <w:rFonts w:eastAsia="Times New Roman" w:cs="Times New Roman"/>
            <w:color w:val="0000FF" w:themeColor="hyperlink"/>
            <w:szCs w:val="20"/>
            <w:u w:val="single"/>
          </w:rPr>
          <w:t>3/11/2022</w:t>
        </w:r>
      </w:hyperlink>
    </w:p>
    <w:p w14:paraId="67E40A90" w14:textId="23435521" w:rsidR="00B873DA" w:rsidRPr="00B873DA" w:rsidRDefault="003166FF" w:rsidP="00B87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B873DA" w:rsidRPr="00B873DA">
          <w:rPr>
            <w:rFonts w:eastAsia="Times New Roman" w:cs="Times New Roman"/>
            <w:color w:val="0000FF" w:themeColor="hyperlink"/>
            <w:szCs w:val="20"/>
            <w:u w:val="single"/>
          </w:rPr>
          <w:t>4/21/2022</w:t>
        </w:r>
      </w:hyperlink>
    </w:p>
    <w:p w14:paraId="327626EE" w14:textId="6925A4CF" w:rsidR="00B873DA" w:rsidRPr="00B873DA" w:rsidRDefault="003166FF" w:rsidP="00B87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B873DA" w:rsidRPr="00B873DA">
          <w:rPr>
            <w:rFonts w:eastAsia="Times New Roman" w:cs="Times New Roman"/>
            <w:color w:val="0000FF" w:themeColor="hyperlink"/>
            <w:szCs w:val="20"/>
            <w:u w:val="single"/>
          </w:rPr>
          <w:t>4/22/2022</w:t>
        </w:r>
      </w:hyperlink>
    </w:p>
    <w:p w14:paraId="79C05286" w14:textId="64308086" w:rsidR="00B873DA" w:rsidRPr="00B873DA" w:rsidRDefault="003166FF" w:rsidP="00B87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B873DA" w:rsidRPr="00B873DA">
          <w:rPr>
            <w:rFonts w:eastAsia="Times New Roman" w:cs="Times New Roman"/>
            <w:color w:val="0000FF" w:themeColor="hyperlink"/>
            <w:szCs w:val="20"/>
            <w:u w:val="single"/>
          </w:rPr>
          <w:t>5/3/2022</w:t>
        </w:r>
      </w:hyperlink>
    </w:p>
    <w:p w14:paraId="622AC541" w14:textId="33BF8107" w:rsidR="00B873DA" w:rsidRPr="00B873DA" w:rsidRDefault="003166FF" w:rsidP="00B87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B873DA" w:rsidRPr="00B873DA">
          <w:rPr>
            <w:rFonts w:eastAsia="Times New Roman" w:cs="Times New Roman"/>
            <w:color w:val="0000FF" w:themeColor="hyperlink"/>
            <w:szCs w:val="20"/>
            <w:u w:val="single"/>
          </w:rPr>
          <w:t>5/5/2022</w:t>
        </w:r>
      </w:hyperlink>
    </w:p>
    <w:p w14:paraId="1DDE4215" w14:textId="77777777" w:rsidR="00B873DA" w:rsidRPr="00B873DA" w:rsidRDefault="00B873DA" w:rsidP="00B87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0234C4C4" w14:textId="77777777" w:rsidR="00B873DA" w:rsidRDefault="00B873DA" w:rsidP="00B873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873DA" w:rsidSect="00B873DA">
          <w:pgSz w:w="12240" w:h="15840" w:code="1"/>
          <w:pgMar w:top="1080" w:right="1440" w:bottom="1080" w:left="1440" w:header="720" w:footer="720" w:gutter="0"/>
          <w:pgNumType w:start="1"/>
          <w:cols w:space="720"/>
          <w:noEndnote/>
          <w:docGrid w:linePitch="360"/>
        </w:sectPr>
      </w:pPr>
    </w:p>
    <w:p w14:paraId="59E748E7" w14:textId="77777777" w:rsidR="00C827ED"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(A165, R221, H4837)</w:t>
      </w:r>
    </w:p>
    <w:p w14:paraId="18E4B18E" w14:textId="77777777" w:rsidR="00C827ED" w:rsidRPr="008836A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187C5879" w14:textId="77777777" w:rsidR="00C827ED" w:rsidRPr="00B873DA"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873DA">
        <w:rPr>
          <w:rFonts w:cs="Times New Roman"/>
          <w:b/>
          <w:color w:val="000000" w:themeColor="text1"/>
          <w:szCs w:val="36"/>
        </w:rPr>
        <w:t xml:space="preserve">AN ACT </w:t>
      </w:r>
      <w:bookmarkStart w:id="1" w:name="titleend"/>
      <w:bookmarkEnd w:id="1"/>
      <w:r w:rsidRPr="00B873DA">
        <w:rPr>
          <w:rFonts w:cs="Times New Roman"/>
          <w:b/>
          <w:color w:val="000000"/>
        </w:rPr>
        <w:t>TO AMEND SECTION 40</w:t>
      </w:r>
      <w:r w:rsidRPr="00B873DA">
        <w:rPr>
          <w:rFonts w:cs="Times New Roman"/>
          <w:b/>
          <w:color w:val="000000"/>
        </w:rPr>
        <w:noBreakHyphen/>
        <w:t>37</w:t>
      </w:r>
      <w:r w:rsidRPr="00B873DA">
        <w:rPr>
          <w:rFonts w:cs="Times New Roman"/>
          <w:b/>
          <w:color w:val="000000"/>
        </w:rPr>
        <w:noBreakHyphen/>
        <w:t>20, CODE OF LAWS OF SOUTH CAROLINA, 1976, RELATING TO DEFINITIONS CONCERNING THE PRACTICE OF OPTOMETRY, SO AS TO PROVIDE A NECESSARY DEFINITION; AND TO AMEND SECTION 40</w:t>
      </w:r>
      <w:r w:rsidRPr="00B873DA">
        <w:rPr>
          <w:rFonts w:cs="Times New Roman"/>
          <w:b/>
          <w:color w:val="000000"/>
        </w:rPr>
        <w:noBreakHyphen/>
        <w:t>37</w:t>
      </w:r>
      <w:r w:rsidRPr="00B873DA">
        <w:rPr>
          <w:rFonts w:cs="Times New Roman"/>
          <w:b/>
          <w:color w:val="000000"/>
        </w:rPr>
        <w:noBreakHyphen/>
        <w:t>320, RELATING TO OPTOMETRY MOBILE UNITS, SO AS TO PROVIDE ADDITIONAL REQUIREMENTS FOR THE OPERATION OF SUCH UNITS.</w:t>
      </w:r>
    </w:p>
    <w:p w14:paraId="755AE329"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3AC9877E"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A0575">
        <w:rPr>
          <w:rFonts w:cs="Times New Roman"/>
        </w:rPr>
        <w:t>Be it enacted by the General Assembly of the State of South Carolina:</w:t>
      </w:r>
    </w:p>
    <w:p w14:paraId="605FC051" w14:textId="77777777" w:rsidR="00C827ED"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5461D192" w14:textId="77777777" w:rsidR="00C827ED" w:rsidRPr="006E1A7E"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Definitions</w:t>
      </w:r>
    </w:p>
    <w:p w14:paraId="47B1A854"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059373A3"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SECTION</w:t>
      </w:r>
      <w:r w:rsidRPr="008A0575">
        <w:rPr>
          <w:rFonts w:cs="Times New Roman"/>
          <w:u w:color="000000" w:themeColor="text1"/>
        </w:rPr>
        <w:tab/>
        <w:t>1.</w:t>
      </w:r>
      <w:r w:rsidRPr="008A0575">
        <w:rPr>
          <w:rFonts w:cs="Times New Roman"/>
          <w:u w:color="000000" w:themeColor="text1"/>
        </w:rPr>
        <w:tab/>
        <w:t>Section 40</w:t>
      </w:r>
      <w:r>
        <w:rPr>
          <w:rFonts w:cs="Times New Roman"/>
          <w:u w:color="000000" w:themeColor="text1"/>
        </w:rPr>
        <w:noBreakHyphen/>
      </w:r>
      <w:r w:rsidRPr="008A0575">
        <w:rPr>
          <w:rFonts w:cs="Times New Roman"/>
          <w:u w:color="000000" w:themeColor="text1"/>
        </w:rPr>
        <w:t>37</w:t>
      </w:r>
      <w:r>
        <w:rPr>
          <w:rFonts w:cs="Times New Roman"/>
          <w:u w:color="000000" w:themeColor="text1"/>
        </w:rPr>
        <w:noBreakHyphen/>
      </w:r>
      <w:r w:rsidRPr="008A0575">
        <w:rPr>
          <w:rFonts w:cs="Times New Roman"/>
          <w:u w:color="000000" w:themeColor="text1"/>
        </w:rPr>
        <w:t>20 of the 1976 Code is amended by adding and item at the end to read:</w:t>
      </w:r>
    </w:p>
    <w:p w14:paraId="04C7F4E2"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060A2C37"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t>“(</w:t>
      </w:r>
      <w:r>
        <w:rPr>
          <w:rFonts w:cs="Times New Roman"/>
          <w:u w:color="000000" w:themeColor="text1"/>
        </w:rPr>
        <w:t xml:space="preserve"> </w:t>
      </w:r>
      <w:r w:rsidRPr="008A0575">
        <w:rPr>
          <w:u w:color="000000" w:themeColor="text1"/>
        </w:rPr>
        <w:t xml:space="preserve"> </w:t>
      </w:r>
      <w:r w:rsidRPr="008A0575">
        <w:rPr>
          <w:rFonts w:cs="Times New Roman"/>
          <w:u w:color="000000" w:themeColor="text1"/>
        </w:rPr>
        <w:t>)</w:t>
      </w:r>
      <w:r w:rsidRPr="008A0575">
        <w:rPr>
          <w:rFonts w:cs="Times New Roman"/>
          <w:u w:color="000000" w:themeColor="text1"/>
        </w:rPr>
        <w:tab/>
      </w:r>
      <w:r w:rsidRPr="006E1A7E">
        <w:rPr>
          <w:rFonts w:cs="Times New Roman"/>
          <w:u w:color="000000" w:themeColor="text1"/>
        </w:rPr>
        <w:t>‘</w:t>
      </w:r>
      <w:r w:rsidRPr="008A0575">
        <w:rPr>
          <w:rFonts w:cs="Times New Roman"/>
          <w:u w:color="000000" w:themeColor="text1"/>
        </w:rPr>
        <w:t>Operator</w:t>
      </w:r>
      <w:r w:rsidRPr="006E1A7E">
        <w:rPr>
          <w:rFonts w:cs="Times New Roman"/>
          <w:u w:color="000000" w:themeColor="text1"/>
        </w:rPr>
        <w:t>’</w:t>
      </w:r>
      <w:r w:rsidRPr="008A0575">
        <w:rPr>
          <w:rFonts w:cs="Times New Roman"/>
          <w:u w:color="000000" w:themeColor="text1"/>
        </w:rPr>
        <w:t xml:space="preserve"> means the licensed optometrist, optometric practice, or organization engaged in providing optometric services directly or through persons authorized by law to provide the services.”</w:t>
      </w:r>
    </w:p>
    <w:p w14:paraId="4F4EF09A" w14:textId="77777777" w:rsidR="00C827ED"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22712DBF" w14:textId="77777777" w:rsidR="00C827ED" w:rsidRPr="006E1A7E"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u w:color="000000" w:themeColor="text1"/>
        </w:rPr>
      </w:pPr>
      <w:r>
        <w:rPr>
          <w:rFonts w:cs="Times New Roman"/>
          <w:b/>
          <w:bCs/>
          <w:u w:color="000000" w:themeColor="text1"/>
        </w:rPr>
        <w:t>Optometry mobile unit requirements</w:t>
      </w:r>
    </w:p>
    <w:p w14:paraId="6AF4BE25"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4A2F6F67"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SECTION</w:t>
      </w:r>
      <w:r w:rsidRPr="008A0575">
        <w:rPr>
          <w:rFonts w:cs="Times New Roman"/>
          <w:u w:color="000000" w:themeColor="text1"/>
        </w:rPr>
        <w:tab/>
        <w:t>2.</w:t>
      </w:r>
      <w:r w:rsidRPr="008A0575">
        <w:rPr>
          <w:rFonts w:cs="Times New Roman"/>
          <w:u w:color="000000" w:themeColor="text1"/>
        </w:rPr>
        <w:tab/>
        <w:t>Section 40</w:t>
      </w:r>
      <w:r>
        <w:rPr>
          <w:rFonts w:cs="Times New Roman"/>
          <w:u w:color="000000" w:themeColor="text1"/>
        </w:rPr>
        <w:noBreakHyphen/>
      </w:r>
      <w:r w:rsidRPr="008A0575">
        <w:rPr>
          <w:rFonts w:cs="Times New Roman"/>
          <w:u w:color="000000" w:themeColor="text1"/>
        </w:rPr>
        <w:t>37</w:t>
      </w:r>
      <w:r>
        <w:rPr>
          <w:rFonts w:cs="Times New Roman"/>
          <w:u w:color="000000" w:themeColor="text1"/>
        </w:rPr>
        <w:noBreakHyphen/>
      </w:r>
      <w:r w:rsidRPr="008A0575">
        <w:rPr>
          <w:rFonts w:cs="Times New Roman"/>
          <w:u w:color="000000" w:themeColor="text1"/>
        </w:rPr>
        <w:t>320(B) of the 1976 Code is amended to read:</w:t>
      </w:r>
    </w:p>
    <w:p w14:paraId="18D193DE"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3B227022"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t>“(B)(1)</w:t>
      </w:r>
      <w:r>
        <w:rPr>
          <w:rFonts w:cs="Times New Roman"/>
          <w:u w:color="000000" w:themeColor="text1"/>
        </w:rPr>
        <w:tab/>
      </w:r>
      <w:r w:rsidRPr="008A0575">
        <w:rPr>
          <w:rFonts w:cs="Times New Roman"/>
          <w:u w:color="000000" w:themeColor="text1"/>
        </w:rPr>
        <w:tab/>
        <w:t>Mobile units may be used either by a licensed optometrist, optometric practice, or organization using a licensed optometrist to operate the mobile optometric unit if the operator obtains a permit for the mobile unit from the board and complies with the other provisions of this subsection. A mobile unit must be limited to visiting and providing services:</w:t>
      </w:r>
    </w:p>
    <w:p w14:paraId="3334A2F1"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t>(a)</w:t>
      </w:r>
      <w:r w:rsidRPr="008A0575">
        <w:rPr>
          <w:rFonts w:cs="Times New Roman"/>
          <w:u w:color="000000" w:themeColor="text1"/>
        </w:rPr>
        <w:tab/>
        <w:t>to licensed health care facilities within this State; or</w:t>
      </w:r>
    </w:p>
    <w:p w14:paraId="055BC22F"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(b)</w:t>
      </w:r>
      <w:r>
        <w:rPr>
          <w:rFonts w:cs="Times New Roman"/>
          <w:u w:color="000000" w:themeColor="text1"/>
        </w:rPr>
        <w:tab/>
        <w:t>on the site of a Title 1</w:t>
      </w:r>
      <w:r w:rsidRPr="008A0575">
        <w:rPr>
          <w:rFonts w:cs="Times New Roman"/>
          <w:u w:color="000000" w:themeColor="text1"/>
        </w:rPr>
        <w:t xml:space="preserve"> public school to the students attending the school, provided the services must be rendered as part of a not</w:t>
      </w:r>
      <w:r>
        <w:rPr>
          <w:rFonts w:cs="Times New Roman"/>
          <w:u w:color="000000" w:themeColor="text1"/>
        </w:rPr>
        <w:noBreakHyphen/>
      </w:r>
      <w:r w:rsidRPr="008A0575">
        <w:rPr>
          <w:rFonts w:cs="Times New Roman"/>
          <w:u w:color="000000" w:themeColor="text1"/>
        </w:rPr>
        <w:t>for</w:t>
      </w:r>
      <w:r>
        <w:rPr>
          <w:rFonts w:cs="Times New Roman"/>
          <w:u w:color="000000" w:themeColor="text1"/>
        </w:rPr>
        <w:noBreakHyphen/>
      </w:r>
      <w:r w:rsidRPr="008A0575">
        <w:rPr>
          <w:rFonts w:cs="Times New Roman"/>
          <w:u w:color="000000" w:themeColor="text1"/>
        </w:rPr>
        <w:t>profit program.</w:t>
      </w:r>
    </w:p>
    <w:p w14:paraId="2C353541"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t>(2)</w:t>
      </w:r>
      <w:r w:rsidRPr="008A0575">
        <w:rPr>
          <w:rFonts w:cs="Times New Roman"/>
          <w:u w:color="000000" w:themeColor="text1"/>
        </w:rPr>
        <w:tab/>
      </w:r>
      <w:r w:rsidRPr="008A0575">
        <w:rPr>
          <w:rFonts w:cs="Times New Roman"/>
          <w:u w:color="000000" w:themeColor="text1"/>
        </w:rPr>
        <w:tab/>
        <w:t xml:space="preserve">In order to operate a mobile unit in this State, the operator shall submit a permit application and fee in the form and manner set forth by the board. </w:t>
      </w:r>
    </w:p>
    <w:p w14:paraId="1048D097"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t>(3)(a)</w:t>
      </w:r>
      <w:r w:rsidRPr="008A0575">
        <w:rPr>
          <w:rFonts w:cs="Times New Roman"/>
          <w:u w:color="000000" w:themeColor="text1"/>
        </w:rPr>
        <w:tab/>
        <w:t xml:space="preserve">A mobile unit permit only may be issued following an inspection of the mobile unit by an authorized representative of the board. Upon the completion of a satisfactory inspection, the board shall </w:t>
      </w:r>
      <w:r w:rsidRPr="008A0575">
        <w:rPr>
          <w:rFonts w:cs="Times New Roman"/>
          <w:u w:color="000000" w:themeColor="text1"/>
        </w:rPr>
        <w:lastRenderedPageBreak/>
        <w:t>issue the applicant a mobile unit permit. The applicant must affix the permit in a prominent and conspicuous place within the mobile unit.</w:t>
      </w:r>
    </w:p>
    <w:p w14:paraId="5476D964"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t>(b)</w:t>
      </w:r>
      <w:r w:rsidRPr="008A0575">
        <w:rPr>
          <w:rFonts w:cs="Times New Roman"/>
          <w:u w:color="000000" w:themeColor="text1"/>
        </w:rPr>
        <w:tab/>
        <w:t>A mobile unit permit issued under this subsection annually must be renewed upon the payment of a renewal fee and satisfactorily undergoing an annual inspection.</w:t>
      </w:r>
    </w:p>
    <w:p w14:paraId="6E7EB56E"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t>(c)</w:t>
      </w:r>
      <w:r w:rsidRPr="008A0575">
        <w:rPr>
          <w:rFonts w:cs="Times New Roman"/>
          <w:u w:color="000000" w:themeColor="text1"/>
        </w:rPr>
        <w:tab/>
        <w:t>In addition to the annual inspection, a mobile unit authorized to operate under this subsection is subject to periodic unannounced inspections by an authorized representative of the board. If the mobile unit is a not</w:t>
      </w:r>
      <w:r>
        <w:rPr>
          <w:rFonts w:cs="Times New Roman"/>
          <w:u w:color="000000" w:themeColor="text1"/>
        </w:rPr>
        <w:noBreakHyphen/>
      </w:r>
      <w:r w:rsidRPr="008A0575">
        <w:rPr>
          <w:rFonts w:cs="Times New Roman"/>
          <w:u w:color="000000" w:themeColor="text1"/>
        </w:rPr>
        <w:t>for</w:t>
      </w:r>
      <w:r>
        <w:rPr>
          <w:rFonts w:cs="Times New Roman"/>
          <w:u w:color="000000" w:themeColor="text1"/>
        </w:rPr>
        <w:noBreakHyphen/>
      </w:r>
      <w:r w:rsidRPr="008A0575">
        <w:rPr>
          <w:rFonts w:cs="Times New Roman"/>
          <w:u w:color="000000" w:themeColor="text1"/>
        </w:rPr>
        <w:t>profit organization operating at a Title 1 school, the periodic unannounced inspection must be conducted after school hours.</w:t>
      </w:r>
    </w:p>
    <w:p w14:paraId="0E033094"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t>(4)(a)</w:t>
      </w:r>
      <w:r w:rsidRPr="008A0575">
        <w:rPr>
          <w:rFonts w:cs="Times New Roman"/>
          <w:u w:color="000000" w:themeColor="text1"/>
        </w:rPr>
        <w:tab/>
        <w:t>The mobile unit shall maintain and furnish to the board both an official business address of record, which may not be a post office box, and an official telephone number of record. A mailing address, if different than the business address and used on an official basis, also must be provided to the board.</w:t>
      </w:r>
    </w:p>
    <w:p w14:paraId="2B6B5BBC"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t>(b)</w:t>
      </w:r>
      <w:r w:rsidRPr="008A0575">
        <w:rPr>
          <w:rFonts w:cs="Times New Roman"/>
          <w:u w:color="000000" w:themeColor="text1"/>
        </w:rPr>
        <w:tab/>
        <w:t>The board must be notified within thirty days of any change in the address or telephone number of record.</w:t>
      </w:r>
    </w:p>
    <w:p w14:paraId="50AAF717"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t>(c)</w:t>
      </w:r>
      <w:r w:rsidRPr="008A0575">
        <w:rPr>
          <w:rFonts w:cs="Times New Roman"/>
          <w:u w:color="000000" w:themeColor="text1"/>
        </w:rPr>
        <w:tab/>
        <w:t>All written or printed documents available from or issued by a mobile unit must contain an official address and telephone number of record for the mobile unit.</w:t>
      </w:r>
    </w:p>
    <w:p w14:paraId="49D6053F"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t>(d)</w:t>
      </w:r>
      <w:r w:rsidRPr="008A0575">
        <w:rPr>
          <w:rFonts w:cs="Times New Roman"/>
          <w:u w:color="000000" w:themeColor="text1"/>
        </w:rPr>
        <w:tab/>
        <w:t>All records must be maintained and available for inspection and copying upon request by the board, subject to HIPPA and FERPA privacy protections.</w:t>
      </w:r>
    </w:p>
    <w:p w14:paraId="32941E33"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t>(5)</w:t>
      </w:r>
      <w:r w:rsidRPr="008A0575">
        <w:rPr>
          <w:rFonts w:cs="Times New Roman"/>
          <w:u w:color="000000" w:themeColor="text1"/>
        </w:rPr>
        <w:tab/>
        <w:t xml:space="preserve">The operator in charge of each mobile unit, in addition to the other requirements of this subsection, shall ensure that: </w:t>
      </w:r>
    </w:p>
    <w:p w14:paraId="77575BF9"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t>(a)</w:t>
      </w:r>
      <w:r w:rsidRPr="008A0575">
        <w:rPr>
          <w:rFonts w:cs="Times New Roman"/>
          <w:u w:color="000000" w:themeColor="text1"/>
        </w:rPr>
        <w:tab/>
        <w:t>all services provided in the mobile unit follow all statutes, regulations, and board policies that regulate the practice of optometry in this State;</w:t>
      </w:r>
    </w:p>
    <w:p w14:paraId="6D704A4D"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t>(b)</w:t>
      </w:r>
      <w:r w:rsidRPr="008A0575">
        <w:rPr>
          <w:rFonts w:cs="Times New Roman"/>
          <w:u w:color="000000" w:themeColor="text1"/>
        </w:rPr>
        <w:tab/>
        <w:t>written procedures are implemented for emergency or follow</w:t>
      </w:r>
      <w:r>
        <w:rPr>
          <w:rFonts w:cs="Times New Roman"/>
          <w:u w:color="000000" w:themeColor="text1"/>
        </w:rPr>
        <w:noBreakHyphen/>
      </w:r>
      <w:r w:rsidRPr="008A0575">
        <w:rPr>
          <w:rFonts w:cs="Times New Roman"/>
          <w:u w:color="000000" w:themeColor="text1"/>
        </w:rPr>
        <w:t>up care for patients treated in the mobile unit, including making prior arrangements, as may be appropriate, for emergency or follow</w:t>
      </w:r>
      <w:r>
        <w:rPr>
          <w:rFonts w:cs="Times New Roman"/>
          <w:u w:color="000000" w:themeColor="text1"/>
        </w:rPr>
        <w:noBreakHyphen/>
      </w:r>
      <w:r w:rsidRPr="008A0575">
        <w:rPr>
          <w:rFonts w:cs="Times New Roman"/>
          <w:u w:color="000000" w:themeColor="text1"/>
        </w:rPr>
        <w:t>up treatment in an optometric unit located in the geographic area where services are being provided;</w:t>
      </w:r>
    </w:p>
    <w:p w14:paraId="07DF6D14"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t>(c)</w:t>
      </w:r>
      <w:r w:rsidRPr="008A0575">
        <w:rPr>
          <w:rFonts w:cs="Times New Roman"/>
          <w:u w:color="000000" w:themeColor="text1"/>
        </w:rPr>
        <w:tab/>
        <w:t xml:space="preserve">the mobile unit complies with all applicable federal, state, and local laws, regulations, and ordinances dealing with flammability, construction, sanitation, zoning, infectious waste management, universal precautions, occupational safety, access by persons with disabilities, and federal Centers for Disease Control guidelines; </w:t>
      </w:r>
    </w:p>
    <w:p w14:paraId="21684A8B"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t>(d)</w:t>
      </w:r>
      <w:r w:rsidRPr="008A0575">
        <w:rPr>
          <w:rFonts w:cs="Times New Roman"/>
          <w:u w:color="000000" w:themeColor="text1"/>
        </w:rPr>
        <w:tab/>
        <w:t>the operator possesses all applicable county and city licenses or permits, including business licenses, to operate the unit at the location where services are being provided;</w:t>
      </w:r>
    </w:p>
    <w:p w14:paraId="39008BC4"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t>(e)</w:t>
      </w:r>
      <w:r w:rsidRPr="008A0575">
        <w:rPr>
          <w:rFonts w:cs="Times New Roman"/>
          <w:u w:color="000000" w:themeColor="text1"/>
        </w:rPr>
        <w:tab/>
        <w:t>the mobile unit is at all times fitted with working carbon monoxide detection devices;</w:t>
      </w:r>
    </w:p>
    <w:p w14:paraId="64FEACCD"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lastRenderedPageBreak/>
        <w:tab/>
      </w:r>
      <w:r w:rsidRPr="008A0575">
        <w:rPr>
          <w:rFonts w:cs="Times New Roman"/>
          <w:u w:color="000000" w:themeColor="text1"/>
        </w:rPr>
        <w:tab/>
      </w:r>
      <w:r w:rsidRPr="008A0575">
        <w:rPr>
          <w:rFonts w:cs="Times New Roman"/>
          <w:u w:color="000000" w:themeColor="text1"/>
        </w:rPr>
        <w:tab/>
        <w:t>(f)</w:t>
      </w:r>
      <w:r w:rsidRPr="008A0575">
        <w:rPr>
          <w:rFonts w:cs="Times New Roman"/>
          <w:u w:color="000000" w:themeColor="text1"/>
        </w:rPr>
        <w:tab/>
        <w:t>no services are performed on minors without consent of their parent or guardian; and</w:t>
      </w:r>
    </w:p>
    <w:p w14:paraId="19382312"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t>(g)</w:t>
      </w:r>
      <w:r w:rsidRPr="008A0575">
        <w:rPr>
          <w:rFonts w:cs="Times New Roman"/>
          <w:u w:color="000000" w:themeColor="text1"/>
        </w:rPr>
        <w:tab/>
        <w:t>during or at the conclusion of each patient</w:t>
      </w:r>
      <w:r w:rsidRPr="006E1A7E">
        <w:rPr>
          <w:rFonts w:cs="Times New Roman"/>
          <w:u w:color="000000" w:themeColor="text1"/>
        </w:rPr>
        <w:t>’</w:t>
      </w:r>
      <w:r w:rsidRPr="008A0575">
        <w:rPr>
          <w:rFonts w:cs="Times New Roman"/>
          <w:u w:color="000000" w:themeColor="text1"/>
        </w:rPr>
        <w:t>s visit to the mobile unit, the patient is provided with an information sheet, and if the patient or their parent or guardian has provided consent to an institutional facility to assist in the patient</w:t>
      </w:r>
      <w:r w:rsidRPr="006E1A7E">
        <w:rPr>
          <w:rFonts w:cs="Times New Roman"/>
          <w:u w:color="000000" w:themeColor="text1"/>
        </w:rPr>
        <w:t>’</w:t>
      </w:r>
      <w:r w:rsidRPr="008A0575">
        <w:rPr>
          <w:rFonts w:cs="Times New Roman"/>
          <w:u w:color="000000" w:themeColor="text1"/>
        </w:rPr>
        <w:t>s health records, the institutional facility is provided with a copy of the information sheet. An institutional facility includes, but is not limited to, a long</w:t>
      </w:r>
      <w:r>
        <w:rPr>
          <w:rFonts w:cs="Times New Roman"/>
          <w:u w:color="000000" w:themeColor="text1"/>
        </w:rPr>
        <w:noBreakHyphen/>
      </w:r>
      <w:r w:rsidRPr="008A0575">
        <w:rPr>
          <w:rFonts w:cs="Times New Roman"/>
          <w:u w:color="000000" w:themeColor="text1"/>
        </w:rPr>
        <w:t>term care facility or school, and an information sheet must include the following:</w:t>
      </w:r>
    </w:p>
    <w:p w14:paraId="19A620EA"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t xml:space="preserve">(i) </w:t>
      </w:r>
      <w:r w:rsidRPr="008A0575">
        <w:rPr>
          <w:rFonts w:cs="Times New Roman"/>
          <w:u w:color="000000" w:themeColor="text1"/>
        </w:rPr>
        <w:tab/>
        <w:t>pertinent contact information as provided by this subsection;</w:t>
      </w:r>
    </w:p>
    <w:p w14:paraId="15496D67"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t>(ii)</w:t>
      </w:r>
      <w:r w:rsidRPr="008A0575">
        <w:rPr>
          <w:rFonts w:cs="Times New Roman"/>
          <w:u w:color="000000" w:themeColor="text1"/>
        </w:rPr>
        <w:tab/>
        <w:t>the name of the optometrist, optician, and other staff who provided services and their license numbers, if applicable;</w:t>
      </w:r>
    </w:p>
    <w:p w14:paraId="3CF6CB54"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t>(iii)</w:t>
      </w:r>
      <w:r w:rsidRPr="008A0575">
        <w:rPr>
          <w:rFonts w:cs="Times New Roman"/>
          <w:u w:color="000000" w:themeColor="text1"/>
        </w:rPr>
        <w:tab/>
        <w:t>a description of the treatment rendered;</w:t>
      </w:r>
    </w:p>
    <w:p w14:paraId="62E33738"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t>(iv)</w:t>
      </w:r>
      <w:r w:rsidRPr="008A0575">
        <w:rPr>
          <w:rFonts w:cs="Times New Roman"/>
          <w:u w:color="000000" w:themeColor="text1"/>
        </w:rPr>
        <w:tab/>
        <w:t>a description of any optometric needs diagnosed during the optometrist</w:t>
      </w:r>
      <w:r w:rsidRPr="006E1A7E">
        <w:rPr>
          <w:rFonts w:cs="Times New Roman"/>
          <w:u w:color="000000" w:themeColor="text1"/>
        </w:rPr>
        <w:t>’</w:t>
      </w:r>
      <w:r w:rsidRPr="008A0575">
        <w:rPr>
          <w:rFonts w:cs="Times New Roman"/>
          <w:u w:color="000000" w:themeColor="text1"/>
        </w:rPr>
        <w:t>s examination; and</w:t>
      </w:r>
    </w:p>
    <w:p w14:paraId="41CA5A27"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t>(v)</w:t>
      </w:r>
      <w:r w:rsidRPr="008A0575">
        <w:rPr>
          <w:rFonts w:cs="Times New Roman"/>
          <w:u w:color="000000" w:themeColor="text1"/>
        </w:rPr>
        <w:tab/>
        <w:t>a recommendation that the patient see another optometrist if the mobile unit is unable to provide the follow</w:t>
      </w:r>
      <w:r>
        <w:rPr>
          <w:rFonts w:cs="Times New Roman"/>
          <w:u w:color="000000" w:themeColor="text1"/>
        </w:rPr>
        <w:noBreakHyphen/>
      </w:r>
      <w:r w:rsidRPr="008A0575">
        <w:rPr>
          <w:rFonts w:cs="Times New Roman"/>
          <w:u w:color="000000" w:themeColor="text1"/>
        </w:rPr>
        <w:t>up treatment described in subsubitem (iv).</w:t>
      </w:r>
    </w:p>
    <w:p w14:paraId="0AF158D9"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t>(6)</w:t>
      </w:r>
      <w:r w:rsidRPr="008A0575">
        <w:rPr>
          <w:rFonts w:cs="Times New Roman"/>
          <w:u w:color="000000" w:themeColor="text1"/>
        </w:rPr>
        <w:tab/>
        <w:t>A mobile unit that accepts a patient and provides preventive treatment, including a screening, eye examination, or</w:t>
      </w:r>
      <w:r w:rsidRPr="008A0575">
        <w:rPr>
          <w:u w:color="000000" w:themeColor="text1"/>
        </w:rPr>
        <w:t xml:space="preserve"> </w:t>
      </w:r>
      <w:r w:rsidRPr="008A0575">
        <w:rPr>
          <w:rFonts w:cs="Times New Roman"/>
          <w:u w:color="000000" w:themeColor="text1"/>
        </w:rPr>
        <w:t>prescription for corrective lenses, but does not follow up with treatment or a referral for treatment when such treatment is clearly indicated, is considered to have abandoned the patient. Appropriate arrangements must be made for treatment services within the patient</w:t>
      </w:r>
      <w:r w:rsidRPr="006E1A7E">
        <w:rPr>
          <w:rFonts w:cs="Times New Roman"/>
          <w:u w:color="000000" w:themeColor="text1"/>
        </w:rPr>
        <w:t>’</w:t>
      </w:r>
      <w:r w:rsidRPr="008A0575">
        <w:rPr>
          <w:rFonts w:cs="Times New Roman"/>
          <w:u w:color="000000" w:themeColor="text1"/>
        </w:rPr>
        <w:t>s geographic area on a follow</w:t>
      </w:r>
      <w:r>
        <w:rPr>
          <w:rFonts w:cs="Times New Roman"/>
          <w:u w:color="000000" w:themeColor="text1"/>
        </w:rPr>
        <w:noBreakHyphen/>
      </w:r>
      <w:r w:rsidRPr="008A0575">
        <w:rPr>
          <w:rFonts w:cs="Times New Roman"/>
          <w:u w:color="000000" w:themeColor="text1"/>
        </w:rPr>
        <w:t>up basis. Reasonable attempts to have follow</w:t>
      </w:r>
      <w:r>
        <w:rPr>
          <w:rFonts w:cs="Times New Roman"/>
          <w:u w:color="000000" w:themeColor="text1"/>
        </w:rPr>
        <w:noBreakHyphen/>
      </w:r>
      <w:r w:rsidRPr="008A0575">
        <w:rPr>
          <w:rFonts w:cs="Times New Roman"/>
          <w:u w:color="000000" w:themeColor="text1"/>
        </w:rPr>
        <w:t>up treatment when a patient does not reappear for treatment or does not meet a scheduled appointment is not considered abandonment.</w:t>
      </w:r>
    </w:p>
    <w:p w14:paraId="67EA25AA"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t>(7)</w:t>
      </w:r>
      <w:r w:rsidRPr="008A0575">
        <w:rPr>
          <w:rFonts w:cs="Times New Roman"/>
          <w:u w:color="000000" w:themeColor="text1"/>
        </w:rPr>
        <w:tab/>
        <w:t>In addition to the other requirements of this subsection, every mobile unit must have:</w:t>
      </w:r>
    </w:p>
    <w:p w14:paraId="1CB3EABD"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t>(a)</w:t>
      </w:r>
      <w:r w:rsidRPr="008A0575">
        <w:rPr>
          <w:rFonts w:cs="Times New Roman"/>
          <w:u w:color="000000" w:themeColor="text1"/>
        </w:rPr>
        <w:tab/>
        <w:t>written procedures and necessary equipment to provide services provided to disabled persons; and</w:t>
      </w:r>
    </w:p>
    <w:p w14:paraId="3D41116D"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t>(b)</w:t>
      </w:r>
      <w:r w:rsidRPr="008A0575">
        <w:rPr>
          <w:rFonts w:cs="Times New Roman"/>
          <w:u w:color="000000" w:themeColor="text1"/>
        </w:rPr>
        <w:tab/>
        <w:t>access to an adequate supply of potable water, including hot water either at the mobile unit or available at locations served by the mobile unit</w:t>
      </w:r>
      <w:r>
        <w:rPr>
          <w:rFonts w:cs="Times New Roman"/>
          <w:u w:color="000000" w:themeColor="text1"/>
        </w:rPr>
        <w:t>.</w:t>
      </w:r>
    </w:p>
    <w:p w14:paraId="0446685B"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t>(8)(a)</w:t>
      </w:r>
      <w:r w:rsidRPr="008A0575">
        <w:rPr>
          <w:rFonts w:cs="Times New Roman"/>
          <w:u w:color="000000" w:themeColor="text1"/>
        </w:rPr>
        <w:tab/>
        <w:t>All examinations conducted as part of the operation of a mobile unit must be performed by an optometrist who is licensed to practice optometry in this State. All glasses fitted and dispensed as part of the operation of a mobile unit must be fitted and dispensed by an optician licensed in this State.</w:t>
      </w:r>
    </w:p>
    <w:p w14:paraId="1C1E11CD"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t>(b)</w:t>
      </w:r>
      <w:r w:rsidRPr="008A0575">
        <w:rPr>
          <w:rFonts w:cs="Times New Roman"/>
          <w:u w:color="000000" w:themeColor="text1"/>
        </w:rPr>
        <w:tab/>
        <w:t xml:space="preserve">The operator of the mobile unit shall identify and advise the board in writing within thirty days of any personnel change relative to all licensed optometrists associated with the mobile unit by providing the </w:t>
      </w:r>
      <w:r w:rsidRPr="008A0575">
        <w:rPr>
          <w:rFonts w:cs="Times New Roman"/>
          <w:u w:color="000000" w:themeColor="text1"/>
        </w:rPr>
        <w:lastRenderedPageBreak/>
        <w:t>full name, address, telephone numbers, and license numbers where applicable.</w:t>
      </w:r>
    </w:p>
    <w:p w14:paraId="489D956D"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t>(c)</w:t>
      </w:r>
      <w:r w:rsidRPr="008A0575">
        <w:rPr>
          <w:rFonts w:cs="Times New Roman"/>
          <w:u w:color="000000" w:themeColor="text1"/>
        </w:rPr>
        <w:tab/>
        <w:t>The operator shall advise the board in writing within thirty days of any change in the written procedure for emergency follow</w:t>
      </w:r>
      <w:r>
        <w:rPr>
          <w:rFonts w:cs="Times New Roman"/>
          <w:u w:color="000000" w:themeColor="text1"/>
        </w:rPr>
        <w:noBreakHyphen/>
      </w:r>
      <w:r w:rsidRPr="008A0575">
        <w:rPr>
          <w:rFonts w:cs="Times New Roman"/>
          <w:u w:color="000000" w:themeColor="text1"/>
        </w:rPr>
        <w:t>up care for patients treated in the mobile unit.</w:t>
      </w:r>
    </w:p>
    <w:p w14:paraId="607A5A07"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t>(d)</w:t>
      </w:r>
      <w:r w:rsidRPr="008A0575">
        <w:rPr>
          <w:rFonts w:cs="Times New Roman"/>
          <w:u w:color="000000" w:themeColor="text1"/>
        </w:rPr>
        <w:tab/>
        <w:t>An optometrist providing services in the mobile unit prominently shall display his license to practice in this State in plain view of patients.</w:t>
      </w:r>
    </w:p>
    <w:p w14:paraId="50DC99CE"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t>(9)(a)</w:t>
      </w:r>
      <w:r w:rsidRPr="008A0575">
        <w:rPr>
          <w:rFonts w:cs="Times New Roman"/>
          <w:u w:color="000000" w:themeColor="text1"/>
        </w:rPr>
        <w:tab/>
        <w:t>An operator of a mobile unit shall maintain a confidential written or electronic record detailing each location where services are provided, including:</w:t>
      </w:r>
    </w:p>
    <w:p w14:paraId="3A0556D1"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t>(i)</w:t>
      </w:r>
      <w:r w:rsidRPr="008A0575">
        <w:rPr>
          <w:rFonts w:cs="Times New Roman"/>
          <w:u w:color="000000" w:themeColor="text1"/>
        </w:rPr>
        <w:tab/>
      </w:r>
      <w:r w:rsidRPr="008A0575">
        <w:rPr>
          <w:rFonts w:cs="Times New Roman"/>
          <w:u w:color="000000" w:themeColor="text1"/>
        </w:rPr>
        <w:tab/>
        <w:t>the street address of the service location;</w:t>
      </w:r>
    </w:p>
    <w:p w14:paraId="79E067BD"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t>(ii)</w:t>
      </w:r>
      <w:r w:rsidRPr="008A0575">
        <w:rPr>
          <w:rFonts w:cs="Times New Roman"/>
          <w:u w:color="000000" w:themeColor="text1"/>
        </w:rPr>
        <w:tab/>
        <w:t>the dates and times of each session; and</w:t>
      </w:r>
    </w:p>
    <w:p w14:paraId="30F8B95E"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t>(iii)</w:t>
      </w:r>
      <w:r w:rsidRPr="008A0575">
        <w:rPr>
          <w:rFonts w:cs="Times New Roman"/>
          <w:u w:color="000000" w:themeColor="text1"/>
        </w:rPr>
        <w:tab/>
        <w:t>the number of patients served.</w:t>
      </w:r>
    </w:p>
    <w:p w14:paraId="50EC20CA"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t>(b)</w:t>
      </w:r>
      <w:r w:rsidRPr="008A0575">
        <w:rPr>
          <w:rFonts w:cs="Times New Roman"/>
          <w:u w:color="000000" w:themeColor="text1"/>
        </w:rPr>
        <w:tab/>
        <w:t>All confidential written or electronic records required to be maintained by this chapter or applicable regulations shall be made available to the board within ten days of a request by the board, subject to HIPPA and FERPA privacy protections. Costs for such records must be covered by the mobile unit operator.</w:t>
      </w:r>
    </w:p>
    <w:p w14:paraId="0DB2D6D4"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t>(10)</w:t>
      </w:r>
      <w:r w:rsidRPr="008A0575">
        <w:rPr>
          <w:rFonts w:cs="Times New Roman"/>
          <w:u w:color="000000" w:themeColor="text1"/>
        </w:rPr>
        <w:tab/>
      </w:r>
      <w:r w:rsidRPr="008A0575">
        <w:rPr>
          <w:rFonts w:cs="Times New Roman"/>
          <w:u w:color="000000" w:themeColor="text1"/>
        </w:rPr>
        <w:tab/>
        <w:t>Optometric services provided on a mobile unit must be in the charge of an optometrist licensed to practice optometry in this State at all times.</w:t>
      </w:r>
    </w:p>
    <w:p w14:paraId="20E836A5"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t>(11)(a)</w:t>
      </w:r>
      <w:r w:rsidRPr="008A0575">
        <w:rPr>
          <w:rFonts w:cs="Times New Roman"/>
          <w:u w:color="000000" w:themeColor="text1"/>
        </w:rPr>
        <w:tab/>
        <w:t>Upon cessation of operation by the mobile unit, the operator shall notify the board in writing within thirty days of the last day of operations of the final disposition of patient records and charts.</w:t>
      </w:r>
    </w:p>
    <w:p w14:paraId="07851131"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t>(b)</w:t>
      </w:r>
      <w:r w:rsidRPr="008A0575">
        <w:rPr>
          <w:rFonts w:cs="Times New Roman"/>
          <w:u w:color="000000" w:themeColor="text1"/>
        </w:rPr>
        <w:tab/>
        <w:t>Upon choosing to discontinue a practice or services in a community, the operator of a mobile unit shall:</w:t>
      </w:r>
    </w:p>
    <w:p w14:paraId="16F12F96"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t>(i)</w:t>
      </w:r>
      <w:r w:rsidRPr="008A0575">
        <w:rPr>
          <w:rFonts w:cs="Times New Roman"/>
          <w:u w:color="000000" w:themeColor="text1"/>
        </w:rPr>
        <w:tab/>
      </w:r>
      <w:r w:rsidRPr="008A0575">
        <w:rPr>
          <w:rFonts w:cs="Times New Roman"/>
          <w:u w:color="000000" w:themeColor="text1"/>
        </w:rPr>
        <w:tab/>
        <w:t>notify all of the operator</w:t>
      </w:r>
      <w:r w:rsidRPr="006E1A7E">
        <w:rPr>
          <w:rFonts w:cs="Times New Roman"/>
          <w:u w:color="000000" w:themeColor="text1"/>
        </w:rPr>
        <w:t>’</w:t>
      </w:r>
      <w:r w:rsidRPr="008A0575">
        <w:rPr>
          <w:rFonts w:cs="Times New Roman"/>
          <w:u w:color="000000" w:themeColor="text1"/>
        </w:rPr>
        <w:t>s active patients in writing that the operator intends to discontinue the mobile unit</w:t>
      </w:r>
      <w:r w:rsidRPr="006E1A7E">
        <w:rPr>
          <w:rFonts w:cs="Times New Roman"/>
          <w:u w:color="000000" w:themeColor="text1"/>
        </w:rPr>
        <w:t>’</w:t>
      </w:r>
      <w:r w:rsidRPr="008A0575">
        <w:rPr>
          <w:rFonts w:cs="Times New Roman"/>
          <w:u w:color="000000" w:themeColor="text1"/>
        </w:rPr>
        <w:t xml:space="preserve">s practice in the community; </w:t>
      </w:r>
    </w:p>
    <w:p w14:paraId="3DBB5C78"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t>(ii)</w:t>
      </w:r>
      <w:r w:rsidRPr="008A0575">
        <w:rPr>
          <w:rFonts w:cs="Times New Roman"/>
          <w:u w:color="000000" w:themeColor="text1"/>
        </w:rPr>
        <w:tab/>
        <w:t>encourage the patients to seek the services of another optometrist; and</w:t>
      </w:r>
    </w:p>
    <w:p w14:paraId="57D72C4D"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t>(iii)</w:t>
      </w:r>
      <w:r w:rsidRPr="008A0575">
        <w:rPr>
          <w:rFonts w:cs="Times New Roman"/>
          <w:u w:color="000000" w:themeColor="text1"/>
        </w:rPr>
        <w:tab/>
        <w:t>make reasonable arrangements with all active patients for the transfer of the patient</w:t>
      </w:r>
      <w:r w:rsidRPr="006E1A7E">
        <w:rPr>
          <w:rFonts w:cs="Times New Roman"/>
          <w:u w:color="000000" w:themeColor="text1"/>
        </w:rPr>
        <w:t>’</w:t>
      </w:r>
      <w:r w:rsidRPr="008A0575">
        <w:rPr>
          <w:rFonts w:cs="Times New Roman"/>
          <w:u w:color="000000" w:themeColor="text1"/>
        </w:rPr>
        <w:t>s records to the patient or a succeeding practitioner.</w:t>
      </w:r>
    </w:p>
    <w:p w14:paraId="74CB7577"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t>(c)</w:t>
      </w:r>
      <w:r w:rsidRPr="008A0575">
        <w:rPr>
          <w:rFonts w:cs="Times New Roman"/>
          <w:u w:color="000000" w:themeColor="text1"/>
        </w:rPr>
        <w:tab/>
        <w:t xml:space="preserve">As used in this subsection, </w:t>
      </w:r>
      <w:r w:rsidRPr="006E1A7E">
        <w:rPr>
          <w:rFonts w:cs="Times New Roman"/>
          <w:u w:color="000000" w:themeColor="text1"/>
        </w:rPr>
        <w:t>‘</w:t>
      </w:r>
      <w:r w:rsidRPr="008A0575">
        <w:rPr>
          <w:rFonts w:cs="Times New Roman"/>
          <w:u w:color="000000" w:themeColor="text1"/>
        </w:rPr>
        <w:t>active patient</w:t>
      </w:r>
      <w:r w:rsidRPr="006E1A7E">
        <w:rPr>
          <w:rFonts w:cs="Times New Roman"/>
          <w:u w:color="000000" w:themeColor="text1"/>
        </w:rPr>
        <w:t>’</w:t>
      </w:r>
      <w:r w:rsidRPr="008A0575">
        <w:rPr>
          <w:rFonts w:cs="Times New Roman"/>
          <w:u w:color="000000" w:themeColor="text1"/>
        </w:rPr>
        <w:t xml:space="preserve"> refers to a person who the mobile unit has examined, treated, cared for, or otherwise consulted with during the two</w:t>
      </w:r>
      <w:r>
        <w:rPr>
          <w:rFonts w:cs="Times New Roman"/>
          <w:u w:color="000000" w:themeColor="text1"/>
        </w:rPr>
        <w:noBreakHyphen/>
      </w:r>
      <w:r w:rsidRPr="008A0575">
        <w:rPr>
          <w:rFonts w:cs="Times New Roman"/>
          <w:u w:color="000000" w:themeColor="text1"/>
        </w:rPr>
        <w:t>year period prior to discontinuation of practice, or moving from or leaving the community.</w:t>
      </w:r>
    </w:p>
    <w:p w14:paraId="3C663ADC"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t>(12)</w:t>
      </w:r>
      <w:r w:rsidRPr="008A0575">
        <w:rPr>
          <w:rFonts w:cs="Times New Roman"/>
          <w:u w:color="000000" w:themeColor="text1"/>
        </w:rPr>
        <w:tab/>
      </w:r>
      <w:r w:rsidRPr="008A0575">
        <w:rPr>
          <w:rFonts w:cs="Times New Roman"/>
          <w:u w:color="000000" w:themeColor="text1"/>
        </w:rPr>
        <w:tab/>
        <w:t xml:space="preserve">The board shall adopt rules and regulations regarding the registration, administration, and operation of mobile units as may be necessary to carry out the provisions of this subsection, and may amend, modify, and repeal any rules and regulations from time to time. Failure </w:t>
      </w:r>
      <w:r w:rsidRPr="008A0575">
        <w:rPr>
          <w:rFonts w:cs="Times New Roman"/>
          <w:u w:color="000000" w:themeColor="text1"/>
        </w:rPr>
        <w:lastRenderedPageBreak/>
        <w:t>to comply with any statutes, regulations, or board policies governing the practice of optometry and the operation of a mobile unit may subject the mobile unit and any optometrists providing services through the mobile unit to disciplinary action by the board, including suspension or revocation of the optometrist</w:t>
      </w:r>
      <w:r w:rsidRPr="006E1A7E">
        <w:rPr>
          <w:rFonts w:cs="Times New Roman"/>
          <w:u w:color="000000" w:themeColor="text1"/>
        </w:rPr>
        <w:t>’</w:t>
      </w:r>
      <w:r w:rsidRPr="008A0575">
        <w:rPr>
          <w:rFonts w:cs="Times New Roman"/>
          <w:u w:color="000000" w:themeColor="text1"/>
        </w:rPr>
        <w:t>s license or revocation of the mobile unit permit. However, a licensed optometrist providing services through a mobile unit shall not be subject to disciplinary action on the sole basis that the licensed optometrist has prescribed eyeglasses without dilating the patient</w:t>
      </w:r>
      <w:r w:rsidRPr="006E1A7E">
        <w:rPr>
          <w:rFonts w:cs="Times New Roman"/>
          <w:u w:color="000000" w:themeColor="text1"/>
        </w:rPr>
        <w:t>’</w:t>
      </w:r>
      <w:r w:rsidRPr="008A0575">
        <w:rPr>
          <w:rFonts w:cs="Times New Roman"/>
          <w:u w:color="000000" w:themeColor="text1"/>
        </w:rPr>
        <w:t>s eye</w:t>
      </w:r>
      <w:r>
        <w:rPr>
          <w:rFonts w:cs="Times New Roman"/>
          <w:u w:color="000000" w:themeColor="text1"/>
        </w:rPr>
        <w:t>s</w:t>
      </w:r>
      <w:r w:rsidRPr="008A0575">
        <w:rPr>
          <w:rFonts w:cs="Times New Roman"/>
          <w:u w:color="000000" w:themeColor="text1"/>
        </w:rPr>
        <w:t xml:space="preserve"> where the following provisions are satisfied:</w:t>
      </w:r>
    </w:p>
    <w:p w14:paraId="38ECE1AA"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t>(a)</w:t>
      </w:r>
      <w:r w:rsidRPr="008A0575">
        <w:rPr>
          <w:rFonts w:cs="Times New Roman"/>
          <w:u w:color="000000" w:themeColor="text1"/>
        </w:rPr>
        <w:tab/>
        <w:t>the operator of the mobile unit is a not</w:t>
      </w:r>
      <w:r>
        <w:rPr>
          <w:rFonts w:cs="Times New Roman"/>
          <w:u w:color="000000" w:themeColor="text1"/>
        </w:rPr>
        <w:noBreakHyphen/>
      </w:r>
      <w:r w:rsidRPr="008A0575">
        <w:rPr>
          <w:rFonts w:cs="Times New Roman"/>
          <w:u w:color="000000" w:themeColor="text1"/>
        </w:rPr>
        <w:t>for</w:t>
      </w:r>
      <w:r>
        <w:rPr>
          <w:rFonts w:cs="Times New Roman"/>
          <w:u w:color="000000" w:themeColor="text1"/>
        </w:rPr>
        <w:noBreakHyphen/>
      </w:r>
      <w:r w:rsidRPr="008A0575">
        <w:rPr>
          <w:rFonts w:cs="Times New Roman"/>
          <w:u w:color="000000" w:themeColor="text1"/>
        </w:rPr>
        <w:t>profit organization providing services at a Title 1 public school; and</w:t>
      </w:r>
    </w:p>
    <w:p w14:paraId="729A0521"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t>(b)</w:t>
      </w:r>
      <w:r w:rsidRPr="008A0575">
        <w:rPr>
          <w:rFonts w:cs="Times New Roman"/>
          <w:u w:color="000000" w:themeColor="text1"/>
        </w:rPr>
        <w:tab/>
        <w:t>the optometrist practicing in the mobile unit shall:</w:t>
      </w:r>
    </w:p>
    <w:p w14:paraId="19C3C30B"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t>(i)</w:t>
      </w:r>
      <w:r w:rsidRPr="008A0575">
        <w:rPr>
          <w:rFonts w:cs="Times New Roman"/>
          <w:u w:color="000000" w:themeColor="text1"/>
        </w:rPr>
        <w:tab/>
      </w:r>
      <w:r w:rsidRPr="008A0575">
        <w:rPr>
          <w:rFonts w:cs="Times New Roman"/>
          <w:u w:color="000000" w:themeColor="text1"/>
        </w:rPr>
        <w:tab/>
        <w:t>provide an appropriate eye examination prior to diagnosing, treating, and/or prescribing eyeglasses to the patient;</w:t>
      </w:r>
    </w:p>
    <w:p w14:paraId="061E40CF"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t>(ii)</w:t>
      </w:r>
      <w:r w:rsidRPr="008A0575">
        <w:rPr>
          <w:rFonts w:cs="Times New Roman"/>
          <w:u w:color="000000" w:themeColor="text1"/>
        </w:rPr>
        <w:tab/>
        <w:t>when providing an appropriate eye examination pursuant to this subsection that does not necessarily require dilation of the eye</w:t>
      </w:r>
      <w:r>
        <w:rPr>
          <w:rFonts w:cs="Times New Roman"/>
          <w:u w:color="000000" w:themeColor="text1"/>
        </w:rPr>
        <w:t>s</w:t>
      </w:r>
      <w:r w:rsidRPr="008A0575">
        <w:rPr>
          <w:rFonts w:cs="Times New Roman"/>
          <w:u w:color="000000" w:themeColor="text1"/>
        </w:rPr>
        <w:t xml:space="preserve">, employ technology sufficient to accurately study the health of the eye in order to prescribe eyeglasses to the patient, provided that the prescription for eyeglasses is not based solely on the refractive eye error of the human eye or is generated by a kiosk; </w:t>
      </w:r>
    </w:p>
    <w:p w14:paraId="51A9076F"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t>(iii)</w:t>
      </w:r>
      <w:r w:rsidRPr="008A0575">
        <w:rPr>
          <w:rFonts w:cs="Times New Roman"/>
          <w:u w:color="000000" w:themeColor="text1"/>
        </w:rPr>
        <w:tab/>
        <w:t>not prescribe eyeglasses to the patient and provide a referral to another licensed optometrist or ophthalmologist for follow</w:t>
      </w:r>
      <w:r>
        <w:rPr>
          <w:rFonts w:cs="Times New Roman"/>
          <w:u w:color="000000" w:themeColor="text1"/>
        </w:rPr>
        <w:noBreakHyphen/>
      </w:r>
      <w:r w:rsidRPr="008A0575">
        <w:rPr>
          <w:rFonts w:cs="Times New Roman"/>
          <w:u w:color="000000" w:themeColor="text1"/>
        </w:rPr>
        <w:t>up care, if the eye examination reveals to the optometrist that a more comprehensive examination is necessary prior to prescribing eyeglasses. Any licensed optometrist performing a comprehensive eye examination of a patient referred under this subsection shall conduct a comprehensive eye exam, including dilation of the eyes; and</w:t>
      </w:r>
    </w:p>
    <w:p w14:paraId="5C8F1D0A"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0575">
        <w:rPr>
          <w:rFonts w:cs="Times New Roman"/>
          <w:u w:color="000000" w:themeColor="text1"/>
        </w:rPr>
        <w:tab/>
      </w:r>
      <w:r w:rsidRPr="008A0575">
        <w:rPr>
          <w:rFonts w:cs="Times New Roman"/>
          <w:u w:color="000000" w:themeColor="text1"/>
        </w:rPr>
        <w:tab/>
      </w:r>
      <w:r w:rsidRPr="008A0575">
        <w:rPr>
          <w:rFonts w:cs="Times New Roman"/>
          <w:u w:color="000000" w:themeColor="text1"/>
        </w:rPr>
        <w:tab/>
        <w:t>(iv)</w:t>
      </w:r>
      <w:r w:rsidRPr="008A0575">
        <w:rPr>
          <w:rFonts w:cs="Times New Roman"/>
          <w:u w:color="000000" w:themeColor="text1"/>
        </w:rPr>
        <w:tab/>
        <w:t>if a patient is referred to the optometrist or ophthalmologist with a prescription issued by another licensed optometrist or physician that has conducted a comprehensive eye examination of the patient, provide eyeglasses to the referred patient according to the prescription issued by the referring licensed optometrist or ophthalmologist.”</w:t>
      </w:r>
    </w:p>
    <w:p w14:paraId="795A022A" w14:textId="77777777" w:rsidR="00C827ED"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0D11F6ED" w14:textId="77777777" w:rsidR="00C827ED" w:rsidRPr="006E1A7E"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u w:color="000000" w:themeColor="text1"/>
        </w:rPr>
      </w:pPr>
      <w:r>
        <w:rPr>
          <w:rFonts w:cs="Times New Roman"/>
          <w:b/>
          <w:bCs/>
          <w:u w:color="000000" w:themeColor="text1"/>
        </w:rPr>
        <w:t>Time effective</w:t>
      </w:r>
    </w:p>
    <w:p w14:paraId="053AAAB5"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36B3959B" w14:textId="77777777" w:rsidR="00C827ED" w:rsidRPr="008A0575"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A0575">
        <w:rPr>
          <w:rFonts w:cs="Times New Roman"/>
          <w:u w:color="000000" w:themeColor="text1"/>
        </w:rPr>
        <w:t>SECTION</w:t>
      </w:r>
      <w:r w:rsidRPr="008A0575">
        <w:rPr>
          <w:rFonts w:cs="Times New Roman"/>
          <w:u w:color="000000" w:themeColor="text1"/>
        </w:rPr>
        <w:tab/>
        <w:t>3.</w:t>
      </w:r>
      <w:r w:rsidRPr="008A0575">
        <w:rPr>
          <w:rFonts w:cs="Times New Roman"/>
          <w:u w:color="000000" w:themeColor="text1"/>
        </w:rPr>
        <w:tab/>
        <w:t>This act takes effect upon approval by the Governor.</w:t>
      </w:r>
    </w:p>
    <w:p w14:paraId="227F2976" w14:textId="77777777" w:rsidR="00C827ED"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14:paraId="036658A8" w14:textId="77777777" w:rsidR="00C827ED" w:rsidRDefault="00C827ED"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14:paraId="0863CEC5" w14:textId="77777777" w:rsidR="00C827ED" w:rsidRDefault="00C827ED" w:rsidP="00C827ED">
      <w:pPr>
        <w:jc w:val="both"/>
        <w:rPr>
          <w:color w:val="000000" w:themeColor="text1"/>
        </w:rPr>
      </w:pPr>
    </w:p>
    <w:p w14:paraId="780015B5" w14:textId="77777777" w:rsidR="00C827ED" w:rsidRDefault="00C827ED" w:rsidP="00C827ED">
      <w:pPr>
        <w:jc w:val="both"/>
        <w:rPr>
          <w:color w:val="000000" w:themeColor="text1"/>
        </w:rPr>
      </w:pPr>
      <w:r>
        <w:rPr>
          <w:color w:val="000000" w:themeColor="text1"/>
        </w:rPr>
        <w:t>Approved the 13</w:t>
      </w:r>
      <w:r w:rsidRPr="00B60240">
        <w:rPr>
          <w:color w:val="000000" w:themeColor="text1"/>
          <w:vertAlign w:val="superscript"/>
        </w:rPr>
        <w:t>th</w:t>
      </w:r>
      <w:r>
        <w:rPr>
          <w:color w:val="000000" w:themeColor="text1"/>
        </w:rPr>
        <w:t xml:space="preserve"> day of May, 2022. </w:t>
      </w:r>
    </w:p>
    <w:p w14:paraId="364DBF29" w14:textId="77777777" w:rsidR="00C827ED" w:rsidRDefault="00C827ED" w:rsidP="00C827ED">
      <w:pPr>
        <w:jc w:val="center"/>
        <w:rPr>
          <w:color w:val="000000" w:themeColor="text1"/>
        </w:rPr>
      </w:pPr>
    </w:p>
    <w:p w14:paraId="5FAB4BDA" w14:textId="77777777" w:rsidR="00C827ED" w:rsidRDefault="00C827ED" w:rsidP="00C827ED">
      <w:pPr>
        <w:jc w:val="center"/>
        <w:rPr>
          <w:color w:val="000000" w:themeColor="text1"/>
        </w:rPr>
      </w:pPr>
      <w:r>
        <w:rPr>
          <w:color w:val="000000" w:themeColor="text1"/>
        </w:rPr>
        <w:t>__________</w:t>
      </w:r>
    </w:p>
    <w:p w14:paraId="448FB781" w14:textId="77777777" w:rsidR="00B873DA" w:rsidRDefault="00B873DA" w:rsidP="00C827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873DA" w:rsidSect="00B873DA">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1551A" w14:textId="77777777" w:rsidR="0001725A" w:rsidRDefault="0001725A" w:rsidP="007D5FAC">
      <w:r>
        <w:separator/>
      </w:r>
    </w:p>
  </w:endnote>
  <w:endnote w:type="continuationSeparator" w:id="0">
    <w:p w14:paraId="3AC9F2CD" w14:textId="77777777" w:rsidR="0001725A" w:rsidRDefault="0001725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F4D69" w14:textId="65B7789D" w:rsidR="00B873DA" w:rsidRPr="00B873DA" w:rsidRDefault="00B873DA" w:rsidP="00B873D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827ED">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C156F" w14:textId="77777777" w:rsidR="00B873DA" w:rsidRDefault="00B873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9D7FC" w14:textId="77777777" w:rsidR="0001725A" w:rsidRDefault="0001725A" w:rsidP="007D5FAC">
      <w:r>
        <w:separator/>
      </w:r>
    </w:p>
  </w:footnote>
  <w:footnote w:type="continuationSeparator" w:id="0">
    <w:p w14:paraId="395183F7" w14:textId="77777777" w:rsidR="0001725A" w:rsidRDefault="0001725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4837"/>
    <w:docVar w:name="ActSecretary" w:val="Turner"/>
    <w:docVar w:name="ActSIdno" w:val="(230)  4837WAB22"/>
    <w:docVar w:name="clipname" w:val="4837WAB22"/>
    <w:docVar w:name="dvBillNumber" w:val="4837"/>
    <w:docVar w:name="dvBillNumberPrefix" w:val="H"/>
    <w:docVar w:name="dvOriginalBody" w:val="House"/>
    <w:docVar w:name="HOUSEACTFULLPATH" w:val="L:\COUNCIL\ACTS\4837WAB22.DOCX"/>
    <w:docVar w:name="OrigHOUSEBillNo" w:val="4837"/>
    <w:docVar w:name="WhatActtype" w:val="AN ACT"/>
  </w:docVars>
  <w:rsids>
    <w:rsidRoot w:val="0001725A"/>
    <w:rsid w:val="00002DE0"/>
    <w:rsid w:val="0001725A"/>
    <w:rsid w:val="00020349"/>
    <w:rsid w:val="00020977"/>
    <w:rsid w:val="00021B0B"/>
    <w:rsid w:val="00040C05"/>
    <w:rsid w:val="0004579B"/>
    <w:rsid w:val="00051B4F"/>
    <w:rsid w:val="00056486"/>
    <w:rsid w:val="00060E60"/>
    <w:rsid w:val="000673E4"/>
    <w:rsid w:val="0007088D"/>
    <w:rsid w:val="000731E9"/>
    <w:rsid w:val="00074565"/>
    <w:rsid w:val="00076A1A"/>
    <w:rsid w:val="00077DA3"/>
    <w:rsid w:val="00081300"/>
    <w:rsid w:val="00085C37"/>
    <w:rsid w:val="00092EE6"/>
    <w:rsid w:val="00094D36"/>
    <w:rsid w:val="00096A9B"/>
    <w:rsid w:val="00096BDA"/>
    <w:rsid w:val="000A6151"/>
    <w:rsid w:val="000B316D"/>
    <w:rsid w:val="000B56CB"/>
    <w:rsid w:val="000D6F51"/>
    <w:rsid w:val="000F0296"/>
    <w:rsid w:val="001030FE"/>
    <w:rsid w:val="001031AE"/>
    <w:rsid w:val="00103295"/>
    <w:rsid w:val="00103D2E"/>
    <w:rsid w:val="00104519"/>
    <w:rsid w:val="00106968"/>
    <w:rsid w:val="00114476"/>
    <w:rsid w:val="00114917"/>
    <w:rsid w:val="001237B9"/>
    <w:rsid w:val="00131CE5"/>
    <w:rsid w:val="00135DBF"/>
    <w:rsid w:val="00135DDF"/>
    <w:rsid w:val="00136AA0"/>
    <w:rsid w:val="00141278"/>
    <w:rsid w:val="0014525A"/>
    <w:rsid w:val="001626DB"/>
    <w:rsid w:val="00164D89"/>
    <w:rsid w:val="001705C5"/>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146A"/>
    <w:rsid w:val="00304605"/>
    <w:rsid w:val="003049A0"/>
    <w:rsid w:val="00305689"/>
    <w:rsid w:val="00315C15"/>
    <w:rsid w:val="0031739F"/>
    <w:rsid w:val="003219FC"/>
    <w:rsid w:val="003234EE"/>
    <w:rsid w:val="0032380E"/>
    <w:rsid w:val="00325D1F"/>
    <w:rsid w:val="003315ED"/>
    <w:rsid w:val="003348FE"/>
    <w:rsid w:val="00334EAC"/>
    <w:rsid w:val="0034356D"/>
    <w:rsid w:val="00357AEF"/>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D6187"/>
    <w:rsid w:val="003E2FE8"/>
    <w:rsid w:val="00400828"/>
    <w:rsid w:val="00400C83"/>
    <w:rsid w:val="00405D95"/>
    <w:rsid w:val="00412191"/>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5CE"/>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5B4D"/>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0B57"/>
    <w:rsid w:val="00663AC3"/>
    <w:rsid w:val="00671B28"/>
    <w:rsid w:val="00672966"/>
    <w:rsid w:val="006750A0"/>
    <w:rsid w:val="00677207"/>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E1A7E"/>
    <w:rsid w:val="006F22C0"/>
    <w:rsid w:val="006F290C"/>
    <w:rsid w:val="007009F2"/>
    <w:rsid w:val="007032DE"/>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101"/>
    <w:rsid w:val="007C3D08"/>
    <w:rsid w:val="007C3EC8"/>
    <w:rsid w:val="007C7B7F"/>
    <w:rsid w:val="007D5FAC"/>
    <w:rsid w:val="007E19E6"/>
    <w:rsid w:val="007E3A81"/>
    <w:rsid w:val="007E4EF8"/>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121C"/>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7B8"/>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47EA"/>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821E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0665"/>
    <w:rsid w:val="00AD107E"/>
    <w:rsid w:val="00AD33E6"/>
    <w:rsid w:val="00AD4887"/>
    <w:rsid w:val="00AE4DFB"/>
    <w:rsid w:val="00AF08CD"/>
    <w:rsid w:val="00AF2080"/>
    <w:rsid w:val="00AF3196"/>
    <w:rsid w:val="00AF3FED"/>
    <w:rsid w:val="00AF6432"/>
    <w:rsid w:val="00AF7929"/>
    <w:rsid w:val="00AF7A83"/>
    <w:rsid w:val="00B11270"/>
    <w:rsid w:val="00B11B4E"/>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873DA"/>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26F5C"/>
    <w:rsid w:val="00C34674"/>
    <w:rsid w:val="00C3483A"/>
    <w:rsid w:val="00C42070"/>
    <w:rsid w:val="00C43F75"/>
    <w:rsid w:val="00C45263"/>
    <w:rsid w:val="00C46AB4"/>
    <w:rsid w:val="00C55195"/>
    <w:rsid w:val="00C7071A"/>
    <w:rsid w:val="00C748CB"/>
    <w:rsid w:val="00C74E9D"/>
    <w:rsid w:val="00C77CE1"/>
    <w:rsid w:val="00C81812"/>
    <w:rsid w:val="00C827ED"/>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08C9"/>
    <w:rsid w:val="00D1180E"/>
    <w:rsid w:val="00D12036"/>
    <w:rsid w:val="00D132DB"/>
    <w:rsid w:val="00D13C21"/>
    <w:rsid w:val="00D15E29"/>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15515"/>
    <w:rsid w:val="00E22C0A"/>
    <w:rsid w:val="00E33964"/>
    <w:rsid w:val="00E33DFF"/>
    <w:rsid w:val="00E3462F"/>
    <w:rsid w:val="00E36231"/>
    <w:rsid w:val="00E37024"/>
    <w:rsid w:val="00E500F1"/>
    <w:rsid w:val="00E5358E"/>
    <w:rsid w:val="00E60357"/>
    <w:rsid w:val="00E61B4C"/>
    <w:rsid w:val="00E676A9"/>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29E"/>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4DB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3C2E5"/>
  <w15:docId w15:val="{92F5F368-6A41-4D15-B29D-4E28C0AD9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873D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NoSpacing">
    <w:name w:val="No Spacing"/>
    <w:uiPriority w:val="1"/>
    <w:qFormat/>
    <w:rsid w:val="009D47EA"/>
    <w:pPr>
      <w:pBdr>
        <w:top w:val="nil"/>
        <w:left w:val="nil"/>
        <w:bottom w:val="nil"/>
        <w:right w:val="nil"/>
        <w:between w:val="nil"/>
        <w:bar w:val="nil"/>
      </w:pBdr>
      <w:spacing w:before="0"/>
    </w:pPr>
    <w:rPr>
      <w:rFonts w:eastAsia="Arial Unicode MS" w:cs="Times New Roman"/>
      <w:sz w:val="24"/>
      <w:szCs w:val="24"/>
      <w:bdr w:val="nil"/>
    </w:rPr>
  </w:style>
  <w:style w:type="table" w:styleId="TableGrid">
    <w:name w:val="Table Grid"/>
    <w:basedOn w:val="TableNormal"/>
    <w:uiPriority w:val="59"/>
    <w:rsid w:val="0005648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873D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60B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20120.docx" TargetMode="External"/><Relationship Id="rId13" Type="http://schemas.openxmlformats.org/officeDocument/2006/relationships/hyperlink" Target="file:///h:\hj\20220310.docx" TargetMode="External"/><Relationship Id="rId18" Type="http://schemas.openxmlformats.org/officeDocument/2006/relationships/hyperlink" Target="file:///h:\sj\20220503.docx" TargetMode="External"/><Relationship Id="rId26" Type="http://schemas.openxmlformats.org/officeDocument/2006/relationships/hyperlink" Target="file:///p:\pprever\2021-22\4837_20220309.docx" TargetMode="External"/><Relationship Id="rId3" Type="http://schemas.openxmlformats.org/officeDocument/2006/relationships/settings" Target="settings.xml"/><Relationship Id="rId21" Type="http://schemas.openxmlformats.org/officeDocument/2006/relationships/hyperlink" Target="file:///h:\hj\20220511.docx" TargetMode="External"/><Relationship Id="rId34" Type="http://schemas.openxmlformats.org/officeDocument/2006/relationships/footer" Target="footer2.xml"/><Relationship Id="rId7" Type="http://schemas.openxmlformats.org/officeDocument/2006/relationships/hyperlink" Target="file:///h:\hj\20220120.docx" TargetMode="External"/><Relationship Id="rId12" Type="http://schemas.openxmlformats.org/officeDocument/2006/relationships/hyperlink" Target="file:///h:\hj\20220310.docx" TargetMode="External"/><Relationship Id="rId17" Type="http://schemas.openxmlformats.org/officeDocument/2006/relationships/hyperlink" Target="file:///h:\sj\20220503.docx" TargetMode="External"/><Relationship Id="rId25" Type="http://schemas.openxmlformats.org/officeDocument/2006/relationships/hyperlink" Target="file:///p:\pprever\2021-22\4837_20220120.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220421.docx" TargetMode="External"/><Relationship Id="rId20" Type="http://schemas.openxmlformats.org/officeDocument/2006/relationships/hyperlink" Target="file:///h:\sj\20220510.docx" TargetMode="External"/><Relationship Id="rId29" Type="http://schemas.openxmlformats.org/officeDocument/2006/relationships/hyperlink" Target="file:///p:\pprever\2021-22\4837_2022042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20310.docx" TargetMode="External"/><Relationship Id="rId24" Type="http://schemas.openxmlformats.org/officeDocument/2006/relationships/hyperlink" Target="http://www.scstatehouse.gov/billsearch.php?billnumbers=4837&amp;session=124&amp;summary=B" TargetMode="External"/><Relationship Id="rId32" Type="http://schemas.openxmlformats.org/officeDocument/2006/relationships/hyperlink" Target="file:///p:\pprever\2021-22\4837_20220505.docx" TargetMode="External"/><Relationship Id="rId5" Type="http://schemas.openxmlformats.org/officeDocument/2006/relationships/footnotes" Target="footnotes.xml"/><Relationship Id="rId15" Type="http://schemas.openxmlformats.org/officeDocument/2006/relationships/hyperlink" Target="file:///h:\sj\20220315.docx" TargetMode="External"/><Relationship Id="rId23" Type="http://schemas.openxmlformats.org/officeDocument/2006/relationships/hyperlink" Target="file:///h:\sj\20220512.docx" TargetMode="External"/><Relationship Id="rId28" Type="http://schemas.openxmlformats.org/officeDocument/2006/relationships/hyperlink" Target="file:///p:\pprever\2021-22\4837_20220311.docx" TargetMode="External"/><Relationship Id="rId36" Type="http://schemas.openxmlformats.org/officeDocument/2006/relationships/theme" Target="theme/theme1.xml"/><Relationship Id="rId10" Type="http://schemas.openxmlformats.org/officeDocument/2006/relationships/hyperlink" Target="file:///h:\hj\20220310.docx" TargetMode="External"/><Relationship Id="rId19" Type="http://schemas.openxmlformats.org/officeDocument/2006/relationships/hyperlink" Target="file:///h:\sj\20220503.docx" TargetMode="External"/><Relationship Id="rId31" Type="http://schemas.openxmlformats.org/officeDocument/2006/relationships/hyperlink" Target="file:///p:\pprever\2021-22\4837_20220503.docx" TargetMode="External"/><Relationship Id="rId4" Type="http://schemas.openxmlformats.org/officeDocument/2006/relationships/webSettings" Target="webSettings.xml"/><Relationship Id="rId9" Type="http://schemas.openxmlformats.org/officeDocument/2006/relationships/hyperlink" Target="file:///h:\hj\20220309.docx" TargetMode="External"/><Relationship Id="rId14" Type="http://schemas.openxmlformats.org/officeDocument/2006/relationships/hyperlink" Target="file:///h:\sj\20220315.docx" TargetMode="External"/><Relationship Id="rId22" Type="http://schemas.openxmlformats.org/officeDocument/2006/relationships/hyperlink" Target="file:///h:\hj\20220511.docx" TargetMode="External"/><Relationship Id="rId27" Type="http://schemas.openxmlformats.org/officeDocument/2006/relationships/hyperlink" Target="file:///p:\pprever\2021-22\4837_20220310.docx" TargetMode="External"/><Relationship Id="rId30" Type="http://schemas.openxmlformats.org/officeDocument/2006/relationships/hyperlink" Target="file:///p:\pprever\2021-22\4837_20220422.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58B23-A72E-463A-AE3F-9FF9480B2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2430</Words>
  <Characters>13852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4837: Optometry mobile units - South Carolina Legislature Online</dc:title>
  <dc:subject/>
  <dc:creator>Rebecca Turner</dc:creator>
  <cp:keywords/>
  <dc:description/>
  <cp:lastModifiedBy>Danny Crook</cp:lastModifiedBy>
  <cp:revision>2</cp:revision>
  <cp:lastPrinted>2022-05-11T19:49:00Z</cp:lastPrinted>
  <dcterms:created xsi:type="dcterms:W3CDTF">2022-06-10T19:54:00Z</dcterms:created>
  <dcterms:modified xsi:type="dcterms:W3CDTF">2022-06-10T19:54:00Z</dcterms:modified>
</cp:coreProperties>
</file>