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604">
        <w:rPr>
          <w:rFonts w:cs="Times New Roman"/>
          <w:b/>
        </w:rPr>
        <w:t>South Carolina General Assembly</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604">
        <w:rPr>
          <w:rFonts w:cs="Times New Roman"/>
        </w:rPr>
        <w:t>124th Session, 2021-2022</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5C1F8A"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A122, R126, S508</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b/>
        </w:rPr>
        <w:t>STATUS INFORMATION</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rPr>
        <w:t>General Bill</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rPr>
        <w:t>Sponsors: Senators Shealy, Hutto and Gustafson</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rPr>
        <w:t>Document Path: l:\s-res\ks\017dnr..kmm.ks.docx</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 2021</w:t>
      </w: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11, 2021</w:t>
      </w: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2021</w:t>
      </w: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3, 2022</w:t>
      </w: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14, 2022, Signed</w:t>
      </w:r>
    </w:p>
    <w:p w:rsidR="00577AEE" w:rsidRDefault="00577AEE"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rPr>
        <w:t>Summary: Do not resuscitate orders</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A73604" w:rsidP="00A73604">
      <w:pPr>
        <w:widowControl w:val="0"/>
        <w:tabs>
          <w:tab w:val="center" w:pos="590"/>
          <w:tab w:val="center" w:pos="1440"/>
          <w:tab w:val="left" w:pos="1872"/>
          <w:tab w:val="left" w:pos="9187"/>
        </w:tabs>
        <w:rPr>
          <w:rFonts w:cs="Times New Roman"/>
        </w:rPr>
      </w:pPr>
      <w:r w:rsidRPr="00A73604">
        <w:rPr>
          <w:rFonts w:cs="Times New Roman"/>
          <w:b/>
        </w:rPr>
        <w:t>HISTORY OF LEGISLATIVE ACTIONS</w:t>
      </w:r>
    </w:p>
    <w:p w:rsidR="00A73604" w:rsidRPr="00A73604" w:rsidRDefault="00A73604" w:rsidP="00A73604">
      <w:pPr>
        <w:widowControl w:val="0"/>
        <w:tabs>
          <w:tab w:val="center" w:pos="590"/>
          <w:tab w:val="center" w:pos="1440"/>
          <w:tab w:val="left" w:pos="1872"/>
          <w:tab w:val="left" w:pos="9187"/>
        </w:tabs>
        <w:rPr>
          <w:rFonts w:cs="Times New Roman"/>
        </w:rPr>
      </w:pPr>
    </w:p>
    <w:p w:rsidR="00A73604" w:rsidRPr="00A73604" w:rsidRDefault="00A73604" w:rsidP="00A73604">
      <w:pPr>
        <w:widowControl w:val="0"/>
        <w:tabs>
          <w:tab w:val="center" w:pos="590"/>
          <w:tab w:val="center" w:pos="1440"/>
          <w:tab w:val="left" w:pos="1872"/>
          <w:tab w:val="left" w:pos="9187"/>
        </w:tabs>
        <w:rPr>
          <w:rFonts w:cs="Times New Roman"/>
        </w:rPr>
      </w:pPr>
      <w:r w:rsidRPr="00A73604">
        <w:rPr>
          <w:rFonts w:cs="Times New Roman"/>
          <w:u w:val="single"/>
        </w:rPr>
        <w:tab/>
        <w:t>Date</w:t>
      </w:r>
      <w:r w:rsidRPr="00A73604">
        <w:rPr>
          <w:rFonts w:cs="Times New Roman"/>
          <w:u w:val="single"/>
        </w:rPr>
        <w:tab/>
        <w:t>Body</w:t>
      </w:r>
      <w:r w:rsidRPr="00A73604">
        <w:rPr>
          <w:rFonts w:cs="Times New Roman"/>
          <w:u w:val="single"/>
        </w:rPr>
        <w:tab/>
        <w:t>Action Description with journal page number</w:t>
      </w:r>
      <w:r w:rsidRPr="00A73604">
        <w:rPr>
          <w:rFonts w:cs="Times New Roman"/>
          <w:u w:val="single"/>
        </w:rPr>
        <w:tab/>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Introduced and read first time (</w:t>
      </w:r>
      <w:hyperlink r:id="rId6" w:history="1">
        <w:r w:rsidRPr="00095F92">
          <w:rPr>
            <w:rStyle w:val="Hyperlink"/>
            <w:rFonts w:cs="Times New Roman"/>
          </w:rPr>
          <w:t>Senate Journal</w:t>
        </w:r>
        <w:r w:rsidRPr="00095F92">
          <w:rPr>
            <w:rStyle w:val="Hyperlink"/>
            <w:rFonts w:cs="Times New Roman"/>
          </w:rPr>
          <w:noBreakHyphen/>
          <w:t>page 2</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Referred to Committee on </w:t>
      </w:r>
      <w:r w:rsidRPr="00095F92">
        <w:rPr>
          <w:rFonts w:cs="Times New Roman"/>
          <w:b/>
        </w:rPr>
        <w:t>Medical Affairs</w:t>
      </w:r>
      <w:r>
        <w:rPr>
          <w:rFonts w:cs="Times New Roman"/>
        </w:rPr>
        <w:t xml:space="preserve"> (</w:t>
      </w:r>
      <w:hyperlink r:id="rId7" w:history="1">
        <w:r w:rsidRPr="00095F92">
          <w:rPr>
            <w:rStyle w:val="Hyperlink"/>
            <w:rFonts w:cs="Times New Roman"/>
          </w:rPr>
          <w:t>Senate Journal</w:t>
        </w:r>
        <w:r w:rsidRPr="00095F92">
          <w:rPr>
            <w:rStyle w:val="Hyperlink"/>
            <w:rFonts w:cs="Times New Roman"/>
          </w:rPr>
          <w:noBreakHyphen/>
          <w:t>page 2</w:t>
        </w:r>
      </w:hyperlink>
      <w:bookmarkStart w:id="0" w:name="_GoBack"/>
      <w:bookmarkEnd w:id="0"/>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 xml:space="preserve">Committee report: Favorable with amendment </w:t>
      </w:r>
      <w:r w:rsidRPr="00095F92">
        <w:rPr>
          <w:rFonts w:cs="Times New Roman"/>
          <w:b/>
        </w:rPr>
        <w:t>Medical Affairs</w:t>
      </w:r>
      <w:r>
        <w:rPr>
          <w:rFonts w:cs="Times New Roman"/>
        </w:rPr>
        <w:t xml:space="preserve"> (</w:t>
      </w:r>
      <w:hyperlink r:id="rId8" w:history="1">
        <w:r w:rsidRPr="00095F92">
          <w:rPr>
            <w:rStyle w:val="Hyperlink"/>
            <w:rFonts w:cs="Times New Roman"/>
          </w:rPr>
          <w:t>Senate Journal</w:t>
        </w:r>
        <w:r w:rsidRPr="00095F92">
          <w:rPr>
            <w:rStyle w:val="Hyperlink"/>
            <w:rFonts w:cs="Times New Roman"/>
          </w:rPr>
          <w:noBreakHyphen/>
          <w:t>page 8</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r>
      <w:r>
        <w:rPr>
          <w:rFonts w:cs="Times New Roman"/>
        </w:rPr>
        <w:tab/>
        <w:t>Scrivener's error corrected</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Committee Amendment Adopted (</w:t>
      </w:r>
      <w:hyperlink r:id="rId9" w:history="1">
        <w:r w:rsidRPr="00095F92">
          <w:rPr>
            <w:rStyle w:val="Hyperlink"/>
            <w:rFonts w:cs="Times New Roman"/>
          </w:rPr>
          <w:t>Senate Journal</w:t>
        </w:r>
        <w:r w:rsidRPr="00095F92">
          <w:rPr>
            <w:rStyle w:val="Hyperlink"/>
            <w:rFonts w:cs="Times New Roman"/>
          </w:rPr>
          <w:noBreakHyphen/>
          <w:t>page 34</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second time (</w:t>
      </w:r>
      <w:hyperlink r:id="rId10" w:history="1">
        <w:r w:rsidRPr="00095F92">
          <w:rPr>
            <w:rStyle w:val="Hyperlink"/>
            <w:rFonts w:cs="Times New Roman"/>
          </w:rPr>
          <w:t>Senate Journal</w:t>
        </w:r>
        <w:r w:rsidRPr="00095F92">
          <w:rPr>
            <w:rStyle w:val="Hyperlink"/>
            <w:rFonts w:cs="Times New Roman"/>
          </w:rPr>
          <w:noBreakHyphen/>
          <w:t>page 34</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1" w:history="1">
        <w:r w:rsidRPr="00095F92">
          <w:rPr>
            <w:rStyle w:val="Hyperlink"/>
            <w:rFonts w:cs="Times New Roman"/>
          </w:rPr>
          <w:t>Senate Journal</w:t>
        </w:r>
        <w:r w:rsidRPr="00095F92">
          <w:rPr>
            <w:rStyle w:val="Hyperlink"/>
            <w:rFonts w:cs="Times New Roman"/>
          </w:rPr>
          <w:noBreakHyphen/>
          <w:t>page 34</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r>
      <w:r>
        <w:rPr>
          <w:rFonts w:cs="Times New Roman"/>
        </w:rPr>
        <w:tab/>
        <w:t>Scrivener's error corrected</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third time and sent to House (</w:t>
      </w:r>
      <w:hyperlink r:id="rId12" w:history="1">
        <w:r w:rsidRPr="00095F92">
          <w:rPr>
            <w:rStyle w:val="Hyperlink"/>
            <w:rFonts w:cs="Times New Roman"/>
          </w:rPr>
          <w:t>Senate Journal</w:t>
        </w:r>
        <w:r w:rsidRPr="00095F92">
          <w:rPr>
            <w:rStyle w:val="Hyperlink"/>
            <w:rFonts w:cs="Times New Roman"/>
          </w:rPr>
          <w:noBreakHyphen/>
          <w:t>page 19</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Introduced and read first time (</w:t>
      </w:r>
      <w:hyperlink r:id="rId13" w:history="1">
        <w:r w:rsidRPr="00095F92">
          <w:rPr>
            <w:rStyle w:val="Hyperlink"/>
            <w:rFonts w:cs="Times New Roman"/>
          </w:rPr>
          <w:t>House Journal</w:t>
        </w:r>
        <w:r w:rsidRPr="00095F92">
          <w:rPr>
            <w:rStyle w:val="Hyperlink"/>
            <w:rFonts w:cs="Times New Roman"/>
          </w:rPr>
          <w:noBreakHyphen/>
          <w:t>page 13</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 xml:space="preserve">Referred to Committee on </w:t>
      </w:r>
      <w:r w:rsidRPr="00095F92">
        <w:rPr>
          <w:rFonts w:cs="Times New Roman"/>
          <w:b/>
        </w:rPr>
        <w:t>Medical, Military, Public and Municipal Affairs</w:t>
      </w:r>
      <w:r>
        <w:rPr>
          <w:rFonts w:cs="Times New Roman"/>
        </w:rPr>
        <w:t xml:space="preserve"> (</w:t>
      </w:r>
      <w:hyperlink r:id="rId14" w:history="1">
        <w:r w:rsidRPr="00095F92">
          <w:rPr>
            <w:rStyle w:val="Hyperlink"/>
            <w:rFonts w:cs="Times New Roman"/>
          </w:rPr>
          <w:t>House Journal</w:t>
        </w:r>
        <w:r w:rsidRPr="00095F92">
          <w:rPr>
            <w:rStyle w:val="Hyperlink"/>
            <w:rFonts w:cs="Times New Roman"/>
          </w:rPr>
          <w:noBreakHyphen/>
          <w:t>page 13</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095F92">
        <w:rPr>
          <w:rFonts w:cs="Times New Roman"/>
          <w:b/>
        </w:rPr>
        <w:t>Medical, Military, Public and Municipal Affairs</w:t>
      </w:r>
      <w:r>
        <w:rPr>
          <w:rFonts w:cs="Times New Roman"/>
        </w:rPr>
        <w:t xml:space="preserve"> (</w:t>
      </w:r>
      <w:hyperlink r:id="rId15" w:history="1">
        <w:r w:rsidRPr="00095F92">
          <w:rPr>
            <w:rStyle w:val="Hyperlink"/>
            <w:rFonts w:cs="Times New Roman"/>
          </w:rPr>
          <w:t>House Journal</w:t>
        </w:r>
        <w:r w:rsidRPr="00095F92">
          <w:rPr>
            <w:rStyle w:val="Hyperlink"/>
            <w:rFonts w:cs="Times New Roman"/>
          </w:rPr>
          <w:noBreakHyphen/>
          <w:t>page 50</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Requests for debate</w:t>
      </w:r>
      <w:r>
        <w:rPr>
          <w:rFonts w:cs="Times New Roman"/>
        </w:rPr>
        <w:noBreakHyphen/>
        <w:t>Rep(s).  Hiott, Hixon, Chumley, Taylor, Forrest, Oremus, Burns, McCabe, Kirby, Finlay, West, Thayer, Fry, Hosey, McCravy, Gagnon, Davis, MM Smith (</w:t>
      </w:r>
      <w:hyperlink r:id="rId16" w:history="1">
        <w:r w:rsidRPr="00095F92">
          <w:rPr>
            <w:rStyle w:val="Hyperlink"/>
            <w:rFonts w:cs="Times New Roman"/>
          </w:rPr>
          <w:t>House Journal</w:t>
        </w:r>
        <w:r w:rsidRPr="00095F92">
          <w:rPr>
            <w:rStyle w:val="Hyperlink"/>
            <w:rFonts w:cs="Times New Roman"/>
          </w:rPr>
          <w:noBreakHyphen/>
          <w:t>page 16</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second time (</w:t>
      </w:r>
      <w:hyperlink r:id="rId17" w:history="1">
        <w:r w:rsidRPr="00095F92">
          <w:rPr>
            <w:rStyle w:val="Hyperlink"/>
            <w:rFonts w:cs="Times New Roman"/>
          </w:rPr>
          <w:t>House Journal</w:t>
        </w:r>
        <w:r w:rsidRPr="00095F92">
          <w:rPr>
            <w:rStyle w:val="Hyperlink"/>
            <w:rFonts w:cs="Times New Roman"/>
          </w:rPr>
          <w:noBreakHyphen/>
          <w:t>page 38</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8" w:history="1">
        <w:r w:rsidRPr="00095F92">
          <w:rPr>
            <w:rStyle w:val="Hyperlink"/>
            <w:rFonts w:cs="Times New Roman"/>
          </w:rPr>
          <w:t>House Journal</w:t>
        </w:r>
        <w:r w:rsidRPr="00095F92">
          <w:rPr>
            <w:rStyle w:val="Hyperlink"/>
            <w:rFonts w:cs="Times New Roman"/>
          </w:rPr>
          <w:noBreakHyphen/>
          <w:t>page 38</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Read third time and enrolled (</w:t>
      </w:r>
      <w:hyperlink r:id="rId19" w:history="1">
        <w:r w:rsidRPr="00095F92">
          <w:rPr>
            <w:rStyle w:val="Hyperlink"/>
            <w:rFonts w:cs="Times New Roman"/>
          </w:rPr>
          <w:t>House Journal</w:t>
        </w:r>
        <w:r w:rsidRPr="00095F92">
          <w:rPr>
            <w:rStyle w:val="Hyperlink"/>
            <w:rFonts w:cs="Times New Roman"/>
          </w:rPr>
          <w:noBreakHyphen/>
          <w:t>page 14</w:t>
        </w:r>
      </w:hyperlink>
      <w:r>
        <w:rPr>
          <w:rFonts w:cs="Times New Roman"/>
        </w:rPr>
        <w:t>)</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126</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Signed By Governor</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Effective date  03/14/22</w:t>
      </w:r>
    </w:p>
    <w:p w:rsidR="005C1F8A" w:rsidRDefault="005C1F8A" w:rsidP="005C1F8A">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Act No.  122</w:t>
      </w:r>
    </w:p>
    <w:p w:rsidR="005C1F8A" w:rsidRDefault="005C1F8A" w:rsidP="005C1F8A">
      <w:pPr>
        <w:widowControl w:val="0"/>
        <w:tabs>
          <w:tab w:val="right" w:pos="1008"/>
          <w:tab w:val="left" w:pos="1152"/>
          <w:tab w:val="left" w:pos="1872"/>
          <w:tab w:val="left" w:pos="9187"/>
        </w:tabs>
        <w:ind w:left="2088" w:hanging="2088"/>
        <w:rPr>
          <w:rFonts w:cs="Times New Roman"/>
        </w:rPr>
      </w:pPr>
    </w:p>
    <w:p w:rsidR="00A73604" w:rsidRPr="00A73604" w:rsidRDefault="00A73604" w:rsidP="00A73604">
      <w:pPr>
        <w:widowControl w:val="0"/>
        <w:tabs>
          <w:tab w:val="right" w:pos="1008"/>
          <w:tab w:val="left" w:pos="1152"/>
          <w:tab w:val="left" w:pos="1872"/>
          <w:tab w:val="left" w:pos="9187"/>
        </w:tabs>
        <w:ind w:left="2088" w:hanging="2088"/>
        <w:rPr>
          <w:rFonts w:cs="Times New Roman"/>
        </w:rPr>
      </w:pPr>
      <w:r w:rsidRPr="00A73604">
        <w:rPr>
          <w:rFonts w:cs="Times New Roman"/>
        </w:rPr>
        <w:t xml:space="preserve">View the latest </w:t>
      </w:r>
      <w:hyperlink r:id="rId20" w:history="1">
        <w:r w:rsidRPr="00A73604">
          <w:rPr>
            <w:rFonts w:cs="Times New Roman"/>
            <w:color w:val="0000FF" w:themeColor="hyperlink"/>
            <w:u w:val="single"/>
          </w:rPr>
          <w:t>legislative information</w:t>
        </w:r>
      </w:hyperlink>
      <w:r w:rsidRPr="00A73604">
        <w:rPr>
          <w:rFonts w:cs="Times New Roman"/>
        </w:rPr>
        <w:t xml:space="preserve"> at the website</w:t>
      </w:r>
    </w:p>
    <w:p w:rsidR="00A73604" w:rsidRPr="00A73604" w:rsidRDefault="00A73604" w:rsidP="00A73604">
      <w:pPr>
        <w:widowControl w:val="0"/>
        <w:tabs>
          <w:tab w:val="right" w:pos="1008"/>
          <w:tab w:val="left" w:pos="1152"/>
          <w:tab w:val="left" w:pos="1872"/>
          <w:tab w:val="left" w:pos="9187"/>
        </w:tabs>
        <w:ind w:left="2088" w:hanging="2088"/>
        <w:rPr>
          <w:rFonts w:cs="Times New Roman"/>
        </w:rPr>
      </w:pPr>
    </w:p>
    <w:p w:rsidR="00A73604" w:rsidRPr="00A73604" w:rsidRDefault="00A73604" w:rsidP="00A73604">
      <w:pPr>
        <w:widowControl w:val="0"/>
        <w:tabs>
          <w:tab w:val="right" w:pos="1008"/>
          <w:tab w:val="left" w:pos="1152"/>
          <w:tab w:val="left" w:pos="1872"/>
          <w:tab w:val="left" w:pos="9187"/>
        </w:tabs>
        <w:ind w:left="2088" w:hanging="2088"/>
        <w:rPr>
          <w:rFonts w:cs="Times New Roman"/>
        </w:rPr>
      </w:pP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604">
        <w:rPr>
          <w:rFonts w:cs="Times New Roman"/>
          <w:b/>
        </w:rPr>
        <w:t>VERSIONS OF THIS BILL</w:t>
      </w:r>
    </w:p>
    <w:p w:rsidR="00A73604" w:rsidRPr="00A73604" w:rsidRDefault="00A73604"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Pr="00A73604" w:rsidRDefault="00EC5401" w:rsidP="00A73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73604" w:rsidRPr="00A73604">
          <w:rPr>
            <w:rFonts w:cs="Times New Roman"/>
            <w:color w:val="0000FF" w:themeColor="hyperlink"/>
            <w:u w:val="single"/>
          </w:rPr>
          <w:t>2/2/2021</w:t>
        </w:r>
      </w:hyperlink>
    </w:p>
    <w:p w:rsidR="00A73604" w:rsidRPr="00A73604" w:rsidRDefault="00EC5401"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73604" w:rsidRPr="00A73604">
          <w:rPr>
            <w:rFonts w:cs="Times New Roman"/>
            <w:color w:val="0000FF" w:themeColor="hyperlink"/>
            <w:u w:val="single"/>
          </w:rPr>
          <w:t>4/29/2021</w:t>
        </w:r>
      </w:hyperlink>
    </w:p>
    <w:p w:rsidR="00A73604" w:rsidRPr="00A73604" w:rsidRDefault="00EC5401"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73604" w:rsidRPr="00A73604">
          <w:rPr>
            <w:rFonts w:cs="Times New Roman"/>
            <w:color w:val="0000FF" w:themeColor="hyperlink"/>
            <w:u w:val="single"/>
          </w:rPr>
          <w:t>4/30/2021</w:t>
        </w:r>
      </w:hyperlink>
    </w:p>
    <w:p w:rsidR="00A73604" w:rsidRPr="00A73604" w:rsidRDefault="00EC5401"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73604" w:rsidRPr="00A73604">
          <w:rPr>
            <w:rFonts w:cs="Times New Roman"/>
            <w:color w:val="0000FF" w:themeColor="hyperlink"/>
            <w:u w:val="single"/>
          </w:rPr>
          <w:t>5/4/2021</w:t>
        </w:r>
      </w:hyperlink>
    </w:p>
    <w:p w:rsidR="00A73604" w:rsidRPr="00A73604" w:rsidRDefault="00EC5401"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73604" w:rsidRPr="00A73604">
          <w:rPr>
            <w:rFonts w:cs="Times New Roman"/>
            <w:color w:val="0000FF" w:themeColor="hyperlink"/>
            <w:u w:val="single"/>
          </w:rPr>
          <w:t>5/5/2021</w:t>
        </w:r>
      </w:hyperlink>
    </w:p>
    <w:p w:rsidR="00A73604" w:rsidRPr="00A73604" w:rsidRDefault="00EC5401"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73604" w:rsidRPr="00A73604">
          <w:rPr>
            <w:rFonts w:cs="Times New Roman"/>
            <w:color w:val="0000FF" w:themeColor="hyperlink"/>
            <w:u w:val="single"/>
          </w:rPr>
          <w:t>2/17/2022</w:t>
        </w:r>
      </w:hyperlink>
    </w:p>
    <w:p w:rsidR="00A73604" w:rsidRPr="00A73604" w:rsidRDefault="00A73604"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604" w:rsidRDefault="00A73604" w:rsidP="00A73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73604" w:rsidSect="00A73604">
          <w:pgSz w:w="12240" w:h="15840" w:code="1"/>
          <w:pgMar w:top="1080" w:right="1440" w:bottom="1080" w:left="1440" w:header="720" w:footer="720" w:gutter="0"/>
          <w:pgNumType w:start="1"/>
          <w:cols w:space="720"/>
          <w:noEndnote/>
          <w:docGrid w:linePitch="360"/>
        </w:sect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R126, S508)</w:t>
      </w:r>
    </w:p>
    <w:p w:rsidR="00486801" w:rsidRPr="008836A5"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6801" w:rsidRPr="00A73604"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73604">
        <w:rPr>
          <w:rFonts w:cs="Times New Roman"/>
          <w:b/>
          <w:color w:val="000000" w:themeColor="text1"/>
          <w:szCs w:val="36"/>
        </w:rPr>
        <w:t xml:space="preserve">AN ACT </w:t>
      </w:r>
      <w:r w:rsidRPr="00A73604">
        <w:rPr>
          <w:rFonts w:cs="Times New Roman"/>
          <w:b/>
          <w:color w:val="000000" w:themeColor="text1"/>
          <w:u w:color="000000" w:themeColor="text1"/>
        </w:rPr>
        <w:t>TO AMEND SECTIONS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15, 44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20, 44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30, 44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45, 44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50, AND 44</w:t>
      </w:r>
      <w:r w:rsidRPr="00A73604">
        <w:rPr>
          <w:rFonts w:cs="Times New Roman"/>
          <w:b/>
          <w:color w:val="000000" w:themeColor="text1"/>
          <w:u w:color="000000" w:themeColor="text1"/>
        </w:rPr>
        <w:noBreakHyphen/>
        <w:t>78</w:t>
      </w:r>
      <w:r w:rsidRPr="00A73604">
        <w:rPr>
          <w:rFonts w:cs="Times New Roman"/>
          <w:b/>
          <w:color w:val="000000" w:themeColor="text1"/>
          <w:u w:color="000000" w:themeColor="text1"/>
        </w:rPr>
        <w:noBreakHyphen/>
        <w:t>60, CODE OF LAWS OF SOUTH CAROLINA, 1976, ALL RELATING TO DO NOT RESUSCITATE ORDERS FOR EMERGENCY MEDICAL SERVICES, SO AS TO ALLOW A PARENT OR LEGAL GUARDIAN OF A MEDICALLY ELIGIBLE CHILD TO REQUEST AND REVOKE A DO NOT RESUSCITATE ORDER FOR EMERGENCY SERVICES FOR THE CHILD, WITH EXCEPTIONS, TO DEFINE CERTAIN TERMS, AND FOR OTHER PURPOSES.</w:t>
      </w:r>
      <w:bookmarkStart w:id="1" w:name="titleend"/>
      <w:bookmarkEnd w:id="1"/>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457DC">
        <w:rPr>
          <w:rFonts w:eastAsia="Times New Roman" w:cs="Times New Roman"/>
        </w:rPr>
        <w:t>Be it enacted by the General Assembly of the State of South Carolina:</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50A78">
        <w:rPr>
          <w:rFonts w:cs="Times New Roman"/>
          <w:b/>
          <w:color w:val="000000" w:themeColor="text1"/>
          <w:u w:color="000000" w:themeColor="text1"/>
        </w:rPr>
        <w:t>Definitions</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1.</w:t>
      </w:r>
      <w:r w:rsidRPr="008457DC">
        <w:rPr>
          <w:rFonts w:cs="Times New Roman"/>
          <w:color w:val="000000" w:themeColor="text1"/>
          <w:u w:color="000000" w:themeColor="text1"/>
        </w:rPr>
        <w:tab/>
        <w:t>A.</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15(7)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“(7)</w:t>
      </w:r>
      <w:r w:rsidRPr="008457DC">
        <w:rPr>
          <w:rFonts w:cs="Times New Roman"/>
          <w:color w:val="000000" w:themeColor="text1"/>
          <w:u w:color="000000" w:themeColor="text1"/>
        </w:rPr>
        <w:tab/>
        <w:t>‘Terminal condition’ means an incurable or irreversible condition that within reasonable medical judgment will cause death within a reasonably short period of time with or without the administration of life</w:t>
      </w:r>
      <w:r>
        <w:rPr>
          <w:rFonts w:cs="Times New Roman"/>
          <w:color w:val="000000" w:themeColor="text1"/>
          <w:u w:color="000000" w:themeColor="text1"/>
        </w:rPr>
        <w:noBreakHyphen/>
      </w:r>
      <w:r w:rsidRPr="008457DC">
        <w:rPr>
          <w:rFonts w:cs="Times New Roman"/>
          <w:color w:val="000000" w:themeColor="text1"/>
          <w:u w:color="000000" w:themeColor="text1"/>
        </w:rPr>
        <w:t>sustaining treatment.”</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B.</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15 of the 1976 Code is amended by adding an appropriately numbered item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w:t>
      </w:r>
      <w:r w:rsidRPr="008457DC">
        <w:rPr>
          <w:rFonts w:cs="Times New Roman"/>
          <w:color w:val="000000" w:themeColor="text1"/>
          <w:u w:color="000000" w:themeColor="text1"/>
        </w:rPr>
        <w:tab/>
        <w:t>)</w:t>
      </w:r>
      <w:r w:rsidRPr="008457DC">
        <w:rPr>
          <w:rFonts w:cs="Times New Roman"/>
          <w:color w:val="000000" w:themeColor="text1"/>
          <w:u w:color="000000" w:themeColor="text1"/>
        </w:rPr>
        <w:tab/>
        <w:t>‘Child’</w:t>
      </w:r>
      <w:r w:rsidRPr="008457DC">
        <w:rPr>
          <w:rFonts w:cs="Times New Roman"/>
          <w:color w:val="000000" w:themeColor="text1"/>
          <w:u w:color="000000" w:themeColor="text1"/>
        </w:rPr>
        <w:tab/>
        <w:t>means a person under the age of eighteen who is neither married nor judicially emancipated and who is medically eligible for hospice care as a result of a terminal condition.”</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0A78">
        <w:rPr>
          <w:rFonts w:cs="Times New Roman"/>
          <w:b/>
          <w:color w:val="000000" w:themeColor="text1"/>
          <w:u w:color="000000" w:themeColor="text1"/>
        </w:rPr>
        <w:t>Do not resuscitate (DNR) order for emergency services</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2.</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20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20.</w:t>
      </w:r>
      <w:r w:rsidRPr="008457DC">
        <w:rPr>
          <w:rFonts w:cs="Times New Roman"/>
          <w:color w:val="000000" w:themeColor="text1"/>
          <w:u w:color="000000" w:themeColor="text1"/>
        </w:rPr>
        <w:tab/>
      </w:r>
      <w:r w:rsidRPr="008457DC">
        <w:rPr>
          <w:rFonts w:cs="Times New Roman"/>
          <w:lang w:val="en-PH"/>
        </w:rPr>
        <w:t>(A)</w:t>
      </w:r>
      <w:r w:rsidRPr="008457DC">
        <w:rPr>
          <w:rFonts w:cs="Times New Roman"/>
          <w:lang w:val="en-PH"/>
        </w:rPr>
        <w:tab/>
        <w:t xml:space="preserve">Except as prohibited in subsections (C) and (D), a patient who has a terminal condition, a surrogate for a patient with a terminal condition under the Adult Health Care Consent Act, an agent of a patient with a terminal condition named by the patient in a Health Care Power of Attorney, or a parent or legal guardian with the legal authority to make medical decisions for a child with a terminal condition </w:t>
      </w:r>
      <w:r w:rsidRPr="008457DC">
        <w:rPr>
          <w:rFonts w:cs="Times New Roman"/>
          <w:lang w:val="en-PH"/>
        </w:rPr>
        <w:lastRenderedPageBreak/>
        <w:t>may request a health care provider responsible for the care of the patient to execute a ‘do not resuscitate order for emergency services’ if:</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lang w:val="en-PH"/>
        </w:rPr>
        <w:tab/>
      </w:r>
      <w:r w:rsidRPr="008457DC">
        <w:rPr>
          <w:rFonts w:cs="Times New Roman"/>
          <w:lang w:val="en-PH"/>
        </w:rPr>
        <w:tab/>
        <w:t>(1)</w:t>
      </w:r>
      <w:r w:rsidRPr="008457DC">
        <w:rPr>
          <w:rFonts w:cs="Times New Roman"/>
          <w:lang w:val="en-PH"/>
        </w:rPr>
        <w:tab/>
        <w:t>the patient has a terminal condition; and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lang w:val="en-PH"/>
        </w:rPr>
        <w:tab/>
      </w:r>
      <w:r w:rsidRPr="008457DC">
        <w:rPr>
          <w:rFonts w:cs="Times New Roman"/>
          <w:lang w:val="en-PH"/>
        </w:rPr>
        <w:tab/>
        <w:t>(2)</w:t>
      </w:r>
      <w:r w:rsidRPr="008457DC">
        <w:rPr>
          <w:rFonts w:cs="Times New Roman"/>
          <w:lang w:val="en-PH"/>
        </w:rPr>
        <w:tab/>
        <w:t>the terminal condition has been diagnosed by a health care provider and the health care provider’s record establishes the time, date, and medical condition which gives rise to the diagnosis of a terminal condition.</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lang w:val="en-PH"/>
        </w:rPr>
        <w:tab/>
        <w:t>(B)</w:t>
      </w:r>
      <w:r w:rsidRPr="008457DC">
        <w:rPr>
          <w:rFonts w:cs="Times New Roman"/>
          <w:lang w:val="en-PH"/>
        </w:rPr>
        <w:tab/>
        <w:t>At the request of the patient for whom a ‘do not resuscitate order’ is written, the patient’s surrogate or agent, or a parent or legal guardian with the legal authority to make medical decisions for the child, the health care provider who executes the ‘do not resuscitate order’ shall make the order in writing on a form conforming to the requirements of Section 44</w:t>
      </w:r>
      <w:r>
        <w:rPr>
          <w:rFonts w:cs="Times New Roman"/>
          <w:lang w:val="en-PH"/>
        </w:rPr>
        <w:noBreakHyphen/>
      </w:r>
      <w:r w:rsidRPr="008457DC">
        <w:rPr>
          <w:rFonts w:cs="Times New Roman"/>
          <w:lang w:val="en-PH"/>
        </w:rPr>
        <w:t>78</w:t>
      </w:r>
      <w:r>
        <w:rPr>
          <w:rFonts w:cs="Times New Roman"/>
          <w:lang w:val="en-PH"/>
        </w:rPr>
        <w:noBreakHyphen/>
      </w:r>
      <w:r w:rsidRPr="008457DC">
        <w:rPr>
          <w:rFonts w:cs="Times New Roman"/>
          <w:lang w:val="en-PH"/>
        </w:rPr>
        <w:t>30(A), and either shall:</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lang w:val="en-PH"/>
        </w:rPr>
        <w:tab/>
      </w:r>
      <w:r w:rsidRPr="008457DC">
        <w:rPr>
          <w:rFonts w:cs="Times New Roman"/>
          <w:lang w:val="en-PH"/>
        </w:rPr>
        <w:tab/>
        <w:t>(1)</w:t>
      </w:r>
      <w:r w:rsidRPr="008457DC">
        <w:rPr>
          <w:rFonts w:cs="Times New Roman"/>
          <w:lang w:val="en-PH"/>
        </w:rPr>
        <w:tab/>
        <w:t>affix to the wrist of the patient a ‘do not resuscitate bracelet’ that meets the specifications established under Section 44</w:t>
      </w:r>
      <w:r>
        <w:rPr>
          <w:rFonts w:cs="Times New Roman"/>
          <w:lang w:val="en-PH"/>
        </w:rPr>
        <w:noBreakHyphen/>
      </w:r>
      <w:r w:rsidRPr="008457DC">
        <w:rPr>
          <w:rFonts w:cs="Times New Roman"/>
          <w:lang w:val="en-PH"/>
        </w:rPr>
        <w:t>78</w:t>
      </w:r>
      <w:r>
        <w:rPr>
          <w:rFonts w:cs="Times New Roman"/>
          <w:lang w:val="en-PH"/>
        </w:rPr>
        <w:noBreakHyphen/>
      </w:r>
      <w:r w:rsidRPr="008457DC">
        <w:rPr>
          <w:rFonts w:cs="Times New Roman"/>
          <w:lang w:val="en-PH"/>
        </w:rPr>
        <w:t>30(B); or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457DC">
        <w:rPr>
          <w:rFonts w:cs="Times New Roman"/>
          <w:lang w:val="en-PH"/>
        </w:rPr>
        <w:tab/>
      </w:r>
      <w:r w:rsidRPr="008457DC">
        <w:rPr>
          <w:rFonts w:cs="Times New Roman"/>
          <w:lang w:val="en-PH"/>
        </w:rPr>
        <w:tab/>
        <w:t>(2)</w:t>
      </w:r>
      <w:r w:rsidRPr="008457DC">
        <w:rPr>
          <w:rFonts w:cs="Times New Roman"/>
          <w:lang w:val="en-PH"/>
        </w:rPr>
        <w:tab/>
        <w:t>provide the patient, the patient’s surrogate or agent, or a parent or legal guardian with the legal authority to make medical decisions for the child with an order form, from a commercial vendor approved by the department pursuant to Section 44</w:t>
      </w:r>
      <w:r>
        <w:rPr>
          <w:rFonts w:cs="Times New Roman"/>
          <w:lang w:val="en-PH"/>
        </w:rPr>
        <w:noBreakHyphen/>
      </w:r>
      <w:r w:rsidRPr="008457DC">
        <w:rPr>
          <w:rFonts w:cs="Times New Roman"/>
          <w:lang w:val="en-PH"/>
        </w:rPr>
        <w:t>78</w:t>
      </w:r>
      <w:r>
        <w:rPr>
          <w:rFonts w:cs="Times New Roman"/>
          <w:lang w:val="en-PH"/>
        </w:rPr>
        <w:noBreakHyphen/>
      </w:r>
      <w:r w:rsidRPr="008457DC">
        <w:rPr>
          <w:rFonts w:cs="Times New Roman"/>
          <w:lang w:val="en-PH"/>
        </w:rPr>
        <w:t>30(B), to allow a ‘do not resuscitate bracelet’ to be ordered from the commercial vendor.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lang w:val="en-PH"/>
        </w:rPr>
        <w:tab/>
      </w:r>
      <w:r w:rsidRPr="008457DC">
        <w:rPr>
          <w:rFonts w:cs="Times New Roman"/>
          <w:color w:val="000000" w:themeColor="text1"/>
          <w:u w:color="000000" w:themeColor="text1"/>
        </w:rPr>
        <w:t>(C)</w:t>
      </w:r>
      <w:r w:rsidRPr="008457DC">
        <w:rPr>
          <w:rFonts w:cs="Times New Roman"/>
          <w:color w:val="000000" w:themeColor="text1"/>
          <w:u w:color="000000" w:themeColor="text1"/>
        </w:rPr>
        <w:tab/>
        <w:t xml:space="preserve">Neither parent </w:t>
      </w:r>
      <w:r>
        <w:rPr>
          <w:rFonts w:cs="Times New Roman"/>
          <w:color w:val="000000" w:themeColor="text1"/>
          <w:u w:color="000000" w:themeColor="text1"/>
        </w:rPr>
        <w:t>n</w:t>
      </w:r>
      <w:r w:rsidRPr="008457DC">
        <w:rPr>
          <w:rFonts w:cs="Times New Roman"/>
          <w:color w:val="000000" w:themeColor="text1"/>
          <w:u w:color="000000" w:themeColor="text1"/>
        </w:rPr>
        <w:t>or legal guardian with the legal authority to make medical decisions for a child shall request a ‘do not resuscitate for emergency services order’ for the child unless a reasonable attempt has been made to inform, either orally or in writing, the second parent or legal guardian of the child with the legal authority to make medical decisions for the child of the intention of the first parent or legal guardian to request a ‘do not resuscitate order’, if the second parent or legal guardian is reasonably available. Accordingly, the following shall be entered in the child’s medical record: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(1)</w:t>
      </w:r>
      <w:r w:rsidRPr="008457DC">
        <w:rPr>
          <w:rFonts w:cs="Times New Roman"/>
          <w:color w:val="000000" w:themeColor="text1"/>
          <w:u w:color="000000" w:themeColor="text1"/>
        </w:rPr>
        <w:tab/>
        <w:t xml:space="preserve">the date, time, and mode of communication of the provision of such information, as well as the name of the sender; </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(2)</w:t>
      </w:r>
      <w:r w:rsidRPr="008457DC">
        <w:rPr>
          <w:rFonts w:cs="Times New Roman"/>
          <w:color w:val="000000" w:themeColor="text1"/>
          <w:u w:color="000000" w:themeColor="text1"/>
        </w:rPr>
        <w:tab/>
        <w:t>if the second parent or legal guardian of the child does not respond to the provision of such information within forty</w:t>
      </w:r>
      <w:r>
        <w:rPr>
          <w:rFonts w:cs="Times New Roman"/>
          <w:color w:val="000000" w:themeColor="text1"/>
          <w:u w:color="000000" w:themeColor="text1"/>
        </w:rPr>
        <w:noBreakHyphen/>
      </w:r>
      <w:r w:rsidRPr="008457DC">
        <w:rPr>
          <w:rFonts w:cs="Times New Roman"/>
          <w:color w:val="000000" w:themeColor="text1"/>
          <w:u w:color="000000" w:themeColor="text1"/>
        </w:rPr>
        <w:t>eight hours; and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(3)</w:t>
      </w:r>
      <w:r w:rsidRPr="008457DC">
        <w:rPr>
          <w:rFonts w:cs="Times New Roman"/>
          <w:color w:val="000000" w:themeColor="text1"/>
          <w:u w:color="000000" w:themeColor="text1"/>
        </w:rPr>
        <w:tab/>
        <w:t>the nature of the lack of availability of the second parent or legal guardian if an attempt to provide such information is not made.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(D)</w:t>
      </w:r>
      <w:r w:rsidRPr="008457DC">
        <w:rPr>
          <w:rFonts w:cs="Times New Roman"/>
          <w:color w:val="000000" w:themeColor="text1"/>
          <w:u w:color="000000" w:themeColor="text1"/>
        </w:rPr>
        <w:tab/>
        <w:t xml:space="preserve">A ‘do not resuscitate order for emergency services order’ shall not be requested by either parent or legal guardian with the legal authority to make medical decisions for a child nor executed by a health care provider responsible for the care of the child if either parent or legal guardian with the legal authority to make medical decisions for the child explicitly refuses consent, either orally or in writing, for requesting a ‘do not resuscitate order’ for the child, except in accordance with a court </w:t>
      </w:r>
      <w:r w:rsidRPr="008457DC">
        <w:rPr>
          <w:rFonts w:cs="Times New Roman"/>
          <w:color w:val="000000" w:themeColor="text1"/>
          <w:u w:color="000000" w:themeColor="text1"/>
        </w:rPr>
        <w:lastRenderedPageBreak/>
        <w:t>order pursuant to subsection (E). Such refusal of consent shall be entered in the child’s medical record.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(E)</w:t>
      </w:r>
      <w:r w:rsidRPr="008457DC">
        <w:rPr>
          <w:rFonts w:cs="Times New Roman"/>
          <w:color w:val="000000" w:themeColor="text1"/>
          <w:u w:color="000000" w:themeColor="text1"/>
        </w:rPr>
        <w:tab/>
        <w:t>If the parents or legal guardians of a child with the legal authority to make medical decisions for the child are unable to agree to request a ‘do not resuscitate order for emergency services’ of a health care provider responsible for the care of the child, either parent or legal guardian may institute a proceeding under subsection (F) to resolve the conflict. Pending the final determination of such proceedings, including any appeals, a ‘do not resuscitate order for emergency services’ shall not be requested by either parent or legal guardian nor executed by the health care provider.</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(F)</w:t>
      </w:r>
      <w:r w:rsidRPr="008457DC">
        <w:rPr>
          <w:rFonts w:cs="Times New Roman"/>
          <w:color w:val="000000" w:themeColor="text1"/>
          <w:u w:color="000000" w:themeColor="text1"/>
        </w:rPr>
        <w:tab/>
        <w:t>A parent or legal guardian with legal authority to make medical decisions for the child may petition the family court or circuit court of the county in which the child resides or in which the child is receiving treatment for an order to a health care provider responsible for the care of the child to execute a ‘do not resuscitate order for emergency services’ for the child, or an order to enjoin a violation of or threat to violate subsection (D). Upon receiving such a petition, the family court or circuit court shall issue an order fixing the date, time, and place of a hearing on the petition and order that notice of the hearing shall be given to such persons as the court shall direct. A preliminary hearing may be held without notice if the court determines that doing so is necessary to prevent imminent danger to the child’s life. In the court’s discretion, a hearing may be conducted in a courtroom, a treatment facility, or at some other suitable place.”</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0A78">
        <w:rPr>
          <w:rFonts w:cs="Times New Roman"/>
          <w:b/>
          <w:color w:val="000000" w:themeColor="text1"/>
          <w:u w:color="000000" w:themeColor="text1"/>
        </w:rPr>
        <w:t>Required form</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3.</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30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30.</w:t>
      </w:r>
      <w:r w:rsidRPr="008457DC">
        <w:rPr>
          <w:rFonts w:cs="Times New Roman"/>
          <w:color w:val="000000" w:themeColor="text1"/>
          <w:u w:color="000000" w:themeColor="text1"/>
        </w:rPr>
        <w:tab/>
        <w:t>(A)</w:t>
      </w:r>
      <w:r w:rsidRPr="008457DC">
        <w:rPr>
          <w:rFonts w:cs="Times New Roman"/>
          <w:color w:val="000000" w:themeColor="text1"/>
          <w:u w:color="000000" w:themeColor="text1"/>
        </w:rPr>
        <w:tab/>
        <w:t>A document purporting to be a ‘do not resuscitate order’ for EMS purposes must be in substantially the following form:</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NOTICE TO EMS PERSONNEL</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This notice is to inform all emergency medical personnel who may be called to render assistance to _________________ that he/she has a terminal condition which has been diagnosed by me, and has specifically requested that no resuscitative efforts including artificial stimulation of the cardiopulmonary system by electrical, mechanical, or manual means be made in the event of cardiopulmonary arrest or, if he/she is a child, such a request has been specifically made by a parent or legal guardian with the legal authority to make medical decisions for the child.</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lastRenderedPageBreak/>
        <w:t>REVOCATION PROCEDURE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THIS FORM MAY BE REVOKED BY AN ORAL STATEMENT BY THE PATIENT OR, IF THE PATIENT IS A CHILD, BY A PARENT OR LEGAL GUARDIAN WITH THE LEGAL AUTHORITY TO MAKE MEDICAL DECISIONS FOR THE CHILD TO EMS PERSONNEL OR BY MUTILATING, OBLITERATING, OR DESTROYING THE DOCUMENT IN ANY MANNER.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Date:_______________________________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___________________________________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Patient’s signature (or surrogate or agent)</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___________________________________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Parent or Legal Guardian</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___________________________________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Physician’s signature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___________________________________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Physician’s address</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___________________________________</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r>
      <w:r w:rsidRPr="008457DC">
        <w:rPr>
          <w:rFonts w:cs="Times New Roman"/>
          <w:color w:val="000000" w:themeColor="text1"/>
          <w:u w:color="000000" w:themeColor="text1"/>
        </w:rPr>
        <w:tab/>
        <w:t>Physician’s telephone number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(B)</w:t>
      </w:r>
      <w:r w:rsidRPr="008457DC">
        <w:rPr>
          <w:rFonts w:cs="Times New Roman"/>
          <w:color w:val="000000" w:themeColor="text1"/>
          <w:u w:color="000000" w:themeColor="text1"/>
        </w:rPr>
        <w:tab/>
        <w:t xml:space="preserve">The department may approve a </w:t>
      </w:r>
      <w:r w:rsidRPr="008457DC">
        <w:rPr>
          <w:rFonts w:cs="Times New Roman"/>
          <w:color w:val="000000" w:themeColor="text1"/>
        </w:rPr>
        <w:t>‘</w:t>
      </w:r>
      <w:r w:rsidRPr="008457DC">
        <w:rPr>
          <w:rFonts w:cs="Times New Roman"/>
          <w:color w:val="000000" w:themeColor="text1"/>
          <w:u w:color="000000" w:themeColor="text1"/>
        </w:rPr>
        <w:t>do not resuscitate bracelet</w:t>
      </w:r>
      <w:r w:rsidRPr="008457DC">
        <w:rPr>
          <w:rFonts w:cs="Times New Roman"/>
          <w:color w:val="000000" w:themeColor="text1"/>
        </w:rPr>
        <w:t>’</w:t>
      </w:r>
      <w:r w:rsidRPr="008457DC">
        <w:rPr>
          <w:rFonts w:cs="Times New Roman"/>
          <w:color w:val="000000" w:themeColor="text1"/>
          <w:u w:color="000000" w:themeColor="text1"/>
        </w:rPr>
        <w:t xml:space="preserve">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w:t>
      </w:r>
      <w:r w:rsidRPr="008457DC">
        <w:rPr>
          <w:rFonts w:cs="Times New Roman"/>
          <w:color w:val="000000" w:themeColor="text1"/>
        </w:rPr>
        <w:t>‘</w:t>
      </w:r>
      <w:r w:rsidRPr="008457DC">
        <w:rPr>
          <w:rFonts w:cs="Times New Roman"/>
          <w:color w:val="000000" w:themeColor="text1"/>
          <w:u w:color="000000" w:themeColor="text1"/>
        </w:rPr>
        <w:t>do not resuscitate bracelet</w:t>
      </w:r>
      <w:r>
        <w:rPr>
          <w:rFonts w:cs="Times New Roman"/>
          <w:color w:val="000000" w:themeColor="text1"/>
          <w:u w:color="000000" w:themeColor="text1"/>
        </w:rPr>
        <w:t>’</w:t>
      </w:r>
      <w:r w:rsidRPr="008457DC">
        <w:rPr>
          <w:rFonts w:cs="Times New Roman"/>
          <w:color w:val="000000" w:themeColor="text1"/>
        </w:rPr>
        <w:t xml:space="preserve"> </w:t>
      </w:r>
      <w:r w:rsidRPr="008457DC">
        <w:rPr>
          <w:rFonts w:cs="Times New Roman"/>
          <w:color w:val="000000" w:themeColor="text1"/>
          <w:u w:color="000000" w:themeColor="text1"/>
        </w:rPr>
        <w:t>developed and distributed by a commercial vendor if the vendor does not require a health care provider’s order for the bracelet before distributing it to a patient.</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(C)</w:t>
      </w:r>
      <w:r w:rsidRPr="008457DC">
        <w:rPr>
          <w:rFonts w:cs="Times New Roman"/>
          <w:color w:val="000000" w:themeColor="text1"/>
          <w:u w:color="000000" w:themeColor="text1"/>
        </w:rPr>
        <w:tab/>
        <w:t>The cost of obtaining a bracelet must be borne by the patient or, if the patient is a child, the parent or legal guardian of the child and may not be provided by the department at the expense of the department.</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(D)</w:t>
      </w:r>
      <w:r w:rsidRPr="008457DC">
        <w:rPr>
          <w:rFonts w:cs="Times New Roman"/>
          <w:color w:val="000000" w:themeColor="text1"/>
          <w:u w:color="000000" w:themeColor="text1"/>
        </w:rPr>
        <w:tab/>
        <w:t xml:space="preserve">The vendor approved by the department shall not fulfill a request for a </w:t>
      </w:r>
      <w:r w:rsidRPr="008457DC">
        <w:rPr>
          <w:rFonts w:cs="Times New Roman"/>
          <w:color w:val="000000" w:themeColor="text1"/>
        </w:rPr>
        <w:t>‘</w:t>
      </w:r>
      <w:r w:rsidRPr="008457DC">
        <w:rPr>
          <w:rFonts w:cs="Times New Roman"/>
          <w:color w:val="000000" w:themeColor="text1"/>
          <w:u w:color="000000" w:themeColor="text1"/>
        </w:rPr>
        <w:t>do not resuscitate bracelet</w:t>
      </w:r>
      <w:r w:rsidRPr="008457DC">
        <w:rPr>
          <w:rFonts w:cs="Times New Roman"/>
          <w:color w:val="000000" w:themeColor="text1"/>
        </w:rPr>
        <w:t>’</w:t>
      </w:r>
      <w:r w:rsidRPr="008457DC">
        <w:rPr>
          <w:rFonts w:cs="Times New Roman"/>
          <w:color w:val="000000" w:themeColor="text1"/>
          <w:u w:color="000000" w:themeColor="text1"/>
        </w:rPr>
        <w:t xml:space="preserve"> without receiving a health care provider’s order for the bracelet with the request.”</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0A78">
        <w:rPr>
          <w:rFonts w:cs="Times New Roman"/>
          <w:b/>
          <w:color w:val="000000" w:themeColor="text1"/>
          <w:u w:color="000000" w:themeColor="text1"/>
        </w:rPr>
        <w:t>Health care provider and EMS personnel, compliance with DNR order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4.</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45(A)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“(A)</w:t>
      </w:r>
      <w:r w:rsidRPr="008457DC">
        <w:rPr>
          <w:rFonts w:cs="Times New Roman"/>
          <w:color w:val="000000" w:themeColor="text1"/>
          <w:u w:color="000000" w:themeColor="text1"/>
        </w:rPr>
        <w:tab/>
        <w:t xml:space="preserve">A health care provider and an EMS personnel shall follow the request of the patient or, if the patient is a child, the parent or legal guardian with the legal authority to make medical decisions for the child </w:t>
      </w:r>
      <w:r w:rsidRPr="008457DC">
        <w:rPr>
          <w:rFonts w:cs="Times New Roman"/>
          <w:color w:val="000000" w:themeColor="text1"/>
          <w:u w:color="000000" w:themeColor="text1"/>
        </w:rPr>
        <w:lastRenderedPageBreak/>
        <w:t>and must not provide resuscitative measures when the patient has a ‘do not resuscitate order for emergency medical services’ or is wearing a ‘do not resuscitate bracelet’, except where the: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(1)</w:t>
      </w:r>
      <w:r w:rsidRPr="008457DC">
        <w:rPr>
          <w:rFonts w:cs="Times New Roman"/>
          <w:color w:val="000000" w:themeColor="text1"/>
          <w:u w:color="000000" w:themeColor="text1"/>
        </w:rPr>
        <w:tab/>
        <w:t>order is revoked pursuant to 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60; or</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(2)</w:t>
      </w:r>
      <w:r w:rsidRPr="008457DC">
        <w:rPr>
          <w:rFonts w:cs="Times New Roman"/>
          <w:color w:val="000000" w:themeColor="text1"/>
          <w:u w:color="000000" w:themeColor="text1"/>
        </w:rPr>
        <w:tab/>
        <w:t>bracelet, when applicable, appears to have been tampered with or removed.”</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0A78">
        <w:rPr>
          <w:rFonts w:cs="Times New Roman"/>
          <w:b/>
          <w:color w:val="000000" w:themeColor="text1"/>
          <w:u w:color="000000" w:themeColor="text1"/>
        </w:rPr>
        <w:t>Children, ineligible to request DNR order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5.</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50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50.</w:t>
      </w:r>
      <w:r w:rsidRPr="008457DC">
        <w:rPr>
          <w:rFonts w:cs="Times New Roman"/>
          <w:color w:val="000000" w:themeColor="text1"/>
          <w:u w:color="000000" w:themeColor="text1"/>
        </w:rPr>
        <w:tab/>
        <w:t>(A)</w:t>
      </w:r>
      <w:r w:rsidRPr="008457DC">
        <w:rPr>
          <w:rFonts w:cs="Times New Roman"/>
          <w:color w:val="000000" w:themeColor="text1"/>
          <w:u w:color="000000" w:themeColor="text1"/>
        </w:rPr>
        <w:tab/>
        <w:t>Nothing in this chapter may be construed to condone, authorize, or approve mercy killing or euthanasia or to permit any affirmative action or deliberate act to end life other than to allow the natural process of dying.</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(B)</w:t>
      </w:r>
      <w:r w:rsidRPr="008457DC">
        <w:rPr>
          <w:rFonts w:cs="Times New Roman"/>
          <w:color w:val="000000" w:themeColor="text1"/>
          <w:u w:color="000000" w:themeColor="text1"/>
        </w:rPr>
        <w:tab/>
        <w:t>No child may request a ‘do not resuscitate order for emergency medical services’ as provided for in this article.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(C)</w:t>
      </w:r>
      <w:r w:rsidRPr="008457DC">
        <w:rPr>
          <w:rFonts w:cs="Times New Roman"/>
          <w:color w:val="000000" w:themeColor="text1"/>
          <w:u w:color="000000" w:themeColor="text1"/>
        </w:rPr>
        <w:tab/>
        <w:t>The withholding of resuscitative measures pursuant to this article does not constitute suicide for any purpose.”</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0A78">
        <w:rPr>
          <w:rFonts w:cs="Times New Roman"/>
          <w:b/>
          <w:color w:val="000000" w:themeColor="text1"/>
          <w:u w:color="000000" w:themeColor="text1"/>
        </w:rPr>
        <w:t>Means of revocation</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6.</w:t>
      </w: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60 of the 1976 Code is amended to read:</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t>“Section 44</w:t>
      </w:r>
      <w:r>
        <w:rPr>
          <w:rFonts w:cs="Times New Roman"/>
          <w:color w:val="000000" w:themeColor="text1"/>
          <w:u w:color="000000" w:themeColor="text1"/>
        </w:rPr>
        <w:noBreakHyphen/>
      </w:r>
      <w:r w:rsidRPr="008457DC">
        <w:rPr>
          <w:rFonts w:cs="Times New Roman"/>
          <w:color w:val="000000" w:themeColor="text1"/>
          <w:u w:color="000000" w:themeColor="text1"/>
        </w:rPr>
        <w:t>78</w:t>
      </w:r>
      <w:r>
        <w:rPr>
          <w:rFonts w:cs="Times New Roman"/>
          <w:color w:val="000000" w:themeColor="text1"/>
          <w:u w:color="000000" w:themeColor="text1"/>
        </w:rPr>
        <w:noBreakHyphen/>
      </w:r>
      <w:r w:rsidRPr="008457DC">
        <w:rPr>
          <w:rFonts w:cs="Times New Roman"/>
          <w:color w:val="000000" w:themeColor="text1"/>
          <w:u w:color="000000" w:themeColor="text1"/>
        </w:rPr>
        <w:t>60.</w:t>
      </w:r>
      <w:r w:rsidRPr="008457DC">
        <w:rPr>
          <w:rFonts w:cs="Times New Roman"/>
          <w:color w:val="000000" w:themeColor="text1"/>
          <w:u w:color="000000" w:themeColor="text1"/>
        </w:rPr>
        <w:tab/>
        <w:t>A patient or, if the patient is a child, a parent or legal guardian with the legal authority to make medical decisions for the child, may revoke a ‘do not resuscitate order for emergency services’ by:</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(1)</w:t>
      </w:r>
      <w:r w:rsidRPr="008457DC">
        <w:rPr>
          <w:rFonts w:cs="Times New Roman"/>
          <w:color w:val="000000" w:themeColor="text1"/>
          <w:u w:color="000000" w:themeColor="text1"/>
        </w:rPr>
        <w:tab/>
        <w:t>mutilating, obliterating, or destroying the ‘do not resuscitate order for emergency medical services’ document in any manner;</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(2)</w:t>
      </w:r>
      <w:r w:rsidRPr="008457DC">
        <w:rPr>
          <w:rFonts w:cs="Times New Roman"/>
          <w:color w:val="000000" w:themeColor="text1"/>
          <w:u w:color="000000" w:themeColor="text1"/>
        </w:rPr>
        <w:tab/>
        <w:t>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(3)</w:t>
      </w:r>
      <w:r w:rsidRPr="008457DC">
        <w:rPr>
          <w:rFonts w:cs="Times New Roman"/>
          <w:color w:val="000000" w:themeColor="text1"/>
          <w:u w:color="000000" w:themeColor="text1"/>
        </w:rPr>
        <w:tab/>
        <w:t>defacing, burning, cutting, or otherwise destroying the bracelet, if applicable; or</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57DC">
        <w:rPr>
          <w:rFonts w:cs="Times New Roman"/>
          <w:color w:val="000000" w:themeColor="text1"/>
          <w:u w:color="000000" w:themeColor="text1"/>
        </w:rPr>
        <w:tab/>
      </w:r>
      <w:r w:rsidRPr="008457DC">
        <w:rPr>
          <w:rFonts w:cs="Times New Roman"/>
          <w:color w:val="000000" w:themeColor="text1"/>
          <w:u w:color="000000" w:themeColor="text1"/>
        </w:rPr>
        <w:tab/>
        <w:t>(4)</w:t>
      </w:r>
      <w:r w:rsidRPr="008457DC">
        <w:rPr>
          <w:rFonts w:cs="Times New Roman"/>
          <w:color w:val="000000" w:themeColor="text1"/>
          <w:u w:color="000000" w:themeColor="text1"/>
        </w:rPr>
        <w:tab/>
        <w:t>removing the bracelet or asking another person to remove the bracelet.”</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86801" w:rsidRPr="00543C4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6801" w:rsidRPr="008457DC"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57DC">
        <w:rPr>
          <w:rFonts w:cs="Times New Roman"/>
          <w:color w:val="000000" w:themeColor="text1"/>
          <w:u w:color="000000" w:themeColor="text1"/>
        </w:rPr>
        <w:t>SECTION</w:t>
      </w:r>
      <w:r w:rsidRPr="008457DC">
        <w:rPr>
          <w:rFonts w:cs="Times New Roman"/>
          <w:color w:val="000000" w:themeColor="text1"/>
          <w:u w:color="000000" w:themeColor="text1"/>
        </w:rPr>
        <w:tab/>
        <w:t>7.</w:t>
      </w:r>
      <w:r w:rsidRPr="008457DC">
        <w:rPr>
          <w:rFonts w:cs="Times New Roman"/>
          <w:color w:val="000000" w:themeColor="text1"/>
          <w:u w:color="000000" w:themeColor="text1"/>
        </w:rPr>
        <w:tab/>
        <w:t>This act takes effect upon approval by the Governor.</w:t>
      </w: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86801" w:rsidRDefault="00486801"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486801" w:rsidRDefault="00486801" w:rsidP="00486801">
      <w:pPr>
        <w:jc w:val="both"/>
        <w:rPr>
          <w:color w:val="000000" w:themeColor="text1"/>
        </w:rPr>
      </w:pPr>
    </w:p>
    <w:p w:rsidR="00486801" w:rsidRDefault="00486801" w:rsidP="00486801">
      <w:pPr>
        <w:jc w:val="both"/>
        <w:rPr>
          <w:color w:val="000000" w:themeColor="text1"/>
        </w:rPr>
      </w:pPr>
      <w:r>
        <w:rPr>
          <w:color w:val="000000" w:themeColor="text1"/>
        </w:rPr>
        <w:t>Approved the 14</w:t>
      </w:r>
      <w:r w:rsidRPr="00C61166">
        <w:rPr>
          <w:color w:val="000000" w:themeColor="text1"/>
          <w:vertAlign w:val="superscript"/>
        </w:rPr>
        <w:t>th</w:t>
      </w:r>
      <w:r>
        <w:rPr>
          <w:color w:val="000000" w:themeColor="text1"/>
        </w:rPr>
        <w:t xml:space="preserve"> day of March, 2022. </w:t>
      </w:r>
    </w:p>
    <w:p w:rsidR="00486801" w:rsidRDefault="00486801" w:rsidP="00486801">
      <w:pPr>
        <w:jc w:val="center"/>
        <w:rPr>
          <w:color w:val="000000" w:themeColor="text1"/>
        </w:rPr>
      </w:pPr>
    </w:p>
    <w:p w:rsidR="00486801" w:rsidRDefault="00486801" w:rsidP="00486801">
      <w:pPr>
        <w:jc w:val="center"/>
        <w:rPr>
          <w:color w:val="000000" w:themeColor="text1"/>
        </w:rPr>
      </w:pPr>
      <w:r>
        <w:rPr>
          <w:color w:val="000000" w:themeColor="text1"/>
        </w:rPr>
        <w:t>__________</w:t>
      </w:r>
    </w:p>
    <w:p w:rsidR="00A73604" w:rsidRPr="00AE4C40" w:rsidRDefault="00A73604" w:rsidP="00486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73604" w:rsidRPr="00AE4C40" w:rsidSect="00A7360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87C" w:rsidRDefault="0031587C" w:rsidP="007D5FAC">
      <w:r>
        <w:separator/>
      </w:r>
    </w:p>
  </w:endnote>
  <w:endnote w:type="continuationSeparator" w:id="0">
    <w:p w:rsidR="0031587C" w:rsidRDefault="0031587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04" w:rsidRPr="00A73604" w:rsidRDefault="00A73604" w:rsidP="00A736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724B">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04" w:rsidRDefault="00A73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87C" w:rsidRDefault="0031587C" w:rsidP="007D5FAC">
      <w:r>
        <w:separator/>
      </w:r>
    </w:p>
  </w:footnote>
  <w:footnote w:type="continuationSeparator" w:id="0">
    <w:p w:rsidR="0031587C" w:rsidRDefault="0031587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08"/>
    <w:docVar w:name="ActSecretary" w:val="Charlton"/>
    <w:docVar w:name="ActSIdno" w:val="(136)  508VR22"/>
    <w:docVar w:name="clipname" w:val="508VR22"/>
    <w:docVar w:name="dvBillNumber" w:val="508"/>
    <w:docVar w:name="dvBillNumberPrefix" w:val="S"/>
    <w:docVar w:name="dvOriginalBody" w:val="Senate"/>
    <w:docVar w:name="OrigSENATEBillNo" w:val="508"/>
    <w:docVar w:name="SENATEACTFULLPATH" w:val="L:\COUNCIL\ACTS\508VR22.DOCX"/>
    <w:docVar w:name="WhatActtype" w:val="AN ACT"/>
  </w:docVars>
  <w:rsids>
    <w:rsidRoot w:val="0031587C"/>
    <w:rsid w:val="00002DE0"/>
    <w:rsid w:val="00017F29"/>
    <w:rsid w:val="00020349"/>
    <w:rsid w:val="00021B0B"/>
    <w:rsid w:val="00030487"/>
    <w:rsid w:val="00040C05"/>
    <w:rsid w:val="0004579B"/>
    <w:rsid w:val="00051B4F"/>
    <w:rsid w:val="00055653"/>
    <w:rsid w:val="000673E4"/>
    <w:rsid w:val="0007088D"/>
    <w:rsid w:val="000731E9"/>
    <w:rsid w:val="00073480"/>
    <w:rsid w:val="00074565"/>
    <w:rsid w:val="00076A1A"/>
    <w:rsid w:val="00077DA3"/>
    <w:rsid w:val="00081300"/>
    <w:rsid w:val="0008580A"/>
    <w:rsid w:val="00085C37"/>
    <w:rsid w:val="00086E11"/>
    <w:rsid w:val="00092EE6"/>
    <w:rsid w:val="000965FE"/>
    <w:rsid w:val="00096A9B"/>
    <w:rsid w:val="00096BDA"/>
    <w:rsid w:val="000A6151"/>
    <w:rsid w:val="000A6BCA"/>
    <w:rsid w:val="000A77D5"/>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37FA"/>
    <w:rsid w:val="00170F30"/>
    <w:rsid w:val="00172771"/>
    <w:rsid w:val="001747A9"/>
    <w:rsid w:val="001750EA"/>
    <w:rsid w:val="001754BB"/>
    <w:rsid w:val="00177C73"/>
    <w:rsid w:val="0018353C"/>
    <w:rsid w:val="00184AD0"/>
    <w:rsid w:val="00195617"/>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B35"/>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587C"/>
    <w:rsid w:val="0031739F"/>
    <w:rsid w:val="003219FC"/>
    <w:rsid w:val="0032380E"/>
    <w:rsid w:val="00325D1F"/>
    <w:rsid w:val="00327D8E"/>
    <w:rsid w:val="003348FE"/>
    <w:rsid w:val="00334EAC"/>
    <w:rsid w:val="003414FD"/>
    <w:rsid w:val="0034356D"/>
    <w:rsid w:val="00343CFA"/>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5DF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86801"/>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43C4C"/>
    <w:rsid w:val="005515CE"/>
    <w:rsid w:val="00556774"/>
    <w:rsid w:val="00556D79"/>
    <w:rsid w:val="00560EBF"/>
    <w:rsid w:val="005627E7"/>
    <w:rsid w:val="00562952"/>
    <w:rsid w:val="005672F0"/>
    <w:rsid w:val="005741F9"/>
    <w:rsid w:val="00577AEE"/>
    <w:rsid w:val="005839FC"/>
    <w:rsid w:val="00583CB3"/>
    <w:rsid w:val="005859EE"/>
    <w:rsid w:val="00590D1D"/>
    <w:rsid w:val="00591D7C"/>
    <w:rsid w:val="00594D39"/>
    <w:rsid w:val="005A1FF2"/>
    <w:rsid w:val="005A286C"/>
    <w:rsid w:val="005A7D5F"/>
    <w:rsid w:val="005B2750"/>
    <w:rsid w:val="005B2DD9"/>
    <w:rsid w:val="005B3E85"/>
    <w:rsid w:val="005B4DB1"/>
    <w:rsid w:val="005C1F8A"/>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31EB"/>
    <w:rsid w:val="0063724D"/>
    <w:rsid w:val="0064018A"/>
    <w:rsid w:val="00641A70"/>
    <w:rsid w:val="0064343C"/>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71D"/>
    <w:rsid w:val="00800AD0"/>
    <w:rsid w:val="00801009"/>
    <w:rsid w:val="00804053"/>
    <w:rsid w:val="00821AAF"/>
    <w:rsid w:val="00832F5E"/>
    <w:rsid w:val="00834B27"/>
    <w:rsid w:val="00836D7F"/>
    <w:rsid w:val="0084163A"/>
    <w:rsid w:val="00841A98"/>
    <w:rsid w:val="00841BFC"/>
    <w:rsid w:val="008449B6"/>
    <w:rsid w:val="00844B3A"/>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24B"/>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07282"/>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604"/>
    <w:rsid w:val="00A73974"/>
    <w:rsid w:val="00A74007"/>
    <w:rsid w:val="00A94134"/>
    <w:rsid w:val="00A96A62"/>
    <w:rsid w:val="00A9741D"/>
    <w:rsid w:val="00A9744F"/>
    <w:rsid w:val="00AA3A5F"/>
    <w:rsid w:val="00AA3FFC"/>
    <w:rsid w:val="00AA464A"/>
    <w:rsid w:val="00AA4D72"/>
    <w:rsid w:val="00AA64F5"/>
    <w:rsid w:val="00AA73CD"/>
    <w:rsid w:val="00AB1AB5"/>
    <w:rsid w:val="00AB1D1C"/>
    <w:rsid w:val="00AB2F1E"/>
    <w:rsid w:val="00AB355F"/>
    <w:rsid w:val="00AC0BD6"/>
    <w:rsid w:val="00AC14ED"/>
    <w:rsid w:val="00AD107E"/>
    <w:rsid w:val="00AD33E6"/>
    <w:rsid w:val="00AD422A"/>
    <w:rsid w:val="00AD4887"/>
    <w:rsid w:val="00AD596A"/>
    <w:rsid w:val="00AE42DA"/>
    <w:rsid w:val="00AE4C40"/>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374"/>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0238"/>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1BAA"/>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75C"/>
    <w:rsid w:val="00F721C4"/>
    <w:rsid w:val="00F7296A"/>
    <w:rsid w:val="00F86999"/>
    <w:rsid w:val="00FA1013"/>
    <w:rsid w:val="00FA3E38"/>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DD24119-EA32-434B-8148-199D965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736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9561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736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1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29.docx" TargetMode="External"/><Relationship Id="rId13" Type="http://schemas.openxmlformats.org/officeDocument/2006/relationships/hyperlink" Target="file:///h:\hj\20210511.docx" TargetMode="External"/><Relationship Id="rId18" Type="http://schemas.openxmlformats.org/officeDocument/2006/relationships/hyperlink" Target="file:///h:\hj\20220302.docx" TargetMode="External"/><Relationship Id="rId26" Type="http://schemas.openxmlformats.org/officeDocument/2006/relationships/hyperlink" Target="file:///p:\pprever\2021-22\508_20220217.docx" TargetMode="External"/><Relationship Id="rId3" Type="http://schemas.openxmlformats.org/officeDocument/2006/relationships/webSettings" Target="webSettings.xml"/><Relationship Id="rId21" Type="http://schemas.openxmlformats.org/officeDocument/2006/relationships/hyperlink" Target="file:///p:\pprever\2021-22\508_20210202.docx" TargetMode="External"/><Relationship Id="rId7" Type="http://schemas.openxmlformats.org/officeDocument/2006/relationships/hyperlink" Target="file:///h:\sj\20210202.docx" TargetMode="External"/><Relationship Id="rId12" Type="http://schemas.openxmlformats.org/officeDocument/2006/relationships/hyperlink" Target="file:///h:\sj\20210506.docx" TargetMode="External"/><Relationship Id="rId17" Type="http://schemas.openxmlformats.org/officeDocument/2006/relationships/hyperlink" Target="file:///h:\hj\20220302.docx" TargetMode="External"/><Relationship Id="rId25" Type="http://schemas.openxmlformats.org/officeDocument/2006/relationships/hyperlink" Target="file:///p:\pprever\2021-22\508_20210505.docx" TargetMode="External"/><Relationship Id="rId2" Type="http://schemas.openxmlformats.org/officeDocument/2006/relationships/settings" Target="settings.xml"/><Relationship Id="rId16" Type="http://schemas.openxmlformats.org/officeDocument/2006/relationships/hyperlink" Target="file:///h:\hj\20220222.docx" TargetMode="External"/><Relationship Id="rId20" Type="http://schemas.openxmlformats.org/officeDocument/2006/relationships/hyperlink" Target="http://www.scstatehouse.gov/billsearch.php?billnumbers=508&amp;session=124&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0202.docx" TargetMode="External"/><Relationship Id="rId11" Type="http://schemas.openxmlformats.org/officeDocument/2006/relationships/hyperlink" Target="file:///h:\sj\20210504.docx" TargetMode="External"/><Relationship Id="rId24" Type="http://schemas.openxmlformats.org/officeDocument/2006/relationships/hyperlink" Target="file:///p:\pprever\2021-22\508_20210504.docx" TargetMode="External"/><Relationship Id="rId5" Type="http://schemas.openxmlformats.org/officeDocument/2006/relationships/endnotes" Target="endnotes.xml"/><Relationship Id="rId15" Type="http://schemas.openxmlformats.org/officeDocument/2006/relationships/hyperlink" Target="file:///h:\hj\20220217.docx" TargetMode="External"/><Relationship Id="rId23" Type="http://schemas.openxmlformats.org/officeDocument/2006/relationships/hyperlink" Target="file:///p:\pprever\2021-22\508_20210430.docx" TargetMode="External"/><Relationship Id="rId28" Type="http://schemas.openxmlformats.org/officeDocument/2006/relationships/footer" Target="footer2.xml"/><Relationship Id="rId10" Type="http://schemas.openxmlformats.org/officeDocument/2006/relationships/hyperlink" Target="file:///h:\sj\20210504.docx" TargetMode="External"/><Relationship Id="rId19" Type="http://schemas.openxmlformats.org/officeDocument/2006/relationships/hyperlink" Target="file:///h:\hj\20220303.docx" TargetMode="External"/><Relationship Id="rId4" Type="http://schemas.openxmlformats.org/officeDocument/2006/relationships/footnotes" Target="footnotes.xml"/><Relationship Id="rId9" Type="http://schemas.openxmlformats.org/officeDocument/2006/relationships/hyperlink" Target="file:///h:\sj\20210504.docx" TargetMode="External"/><Relationship Id="rId14" Type="http://schemas.openxmlformats.org/officeDocument/2006/relationships/hyperlink" Target="file:///h:\hj\20210511.docx" TargetMode="External"/><Relationship Id="rId22" Type="http://schemas.openxmlformats.org/officeDocument/2006/relationships/hyperlink" Target="file:///p:\pprever\2021-22\508_20210429.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508: Do not resuscitate orders - South Carolina Legislature Online</dc:title>
  <dc:subject/>
  <dc:creator>Chris Charlton</dc:creator>
  <cp:keywords/>
  <dc:description/>
  <cp:lastModifiedBy>Danny Crook</cp:lastModifiedBy>
  <cp:revision>2</cp:revision>
  <cp:lastPrinted>2009-02-19T22:23:00Z</cp:lastPrinted>
  <dcterms:created xsi:type="dcterms:W3CDTF">2022-03-23T19:11:00Z</dcterms:created>
  <dcterms:modified xsi:type="dcterms:W3CDTF">2022-03-23T19:11:00Z</dcterms:modified>
</cp:coreProperties>
</file>