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2BC" w:rsidRDefault="00F842BC" w:rsidP="00F842BC">
      <w:pPr>
        <w:widowControl w:val="0"/>
        <w:jc w:val="center"/>
      </w:pPr>
      <w:r w:rsidRPr="00F842BC">
        <w:rPr>
          <w:b/>
        </w:rPr>
        <w:t>South Carolina General Assembly</w:t>
      </w:r>
    </w:p>
    <w:p w:rsidR="00F842BC" w:rsidRDefault="00F842BC" w:rsidP="00F842BC">
      <w:pPr>
        <w:widowControl w:val="0"/>
        <w:jc w:val="center"/>
      </w:pPr>
      <w:r>
        <w:t>124th Session, 2021-2022</w:t>
      </w:r>
    </w:p>
    <w:p w:rsidR="00F842BC" w:rsidRDefault="00F842BC" w:rsidP="00F842BC">
      <w:pPr>
        <w:widowControl w:val="0"/>
      </w:pPr>
    </w:p>
    <w:p w:rsidR="00F842BC" w:rsidRDefault="00F842BC" w:rsidP="00F842BC">
      <w:pPr>
        <w:widowControl w:val="0"/>
        <w:rPr>
          <w:b/>
        </w:rPr>
      </w:pPr>
      <w:r w:rsidRPr="00F842BC">
        <w:rPr>
          <w:b/>
        </w:rPr>
        <w:t>S.</w:t>
      </w:r>
      <w:r>
        <w:rPr>
          <w:b/>
        </w:rPr>
        <w:t xml:space="preserve"> </w:t>
      </w:r>
      <w:r w:rsidRPr="00F842BC">
        <w:rPr>
          <w:b/>
        </w:rPr>
        <w:t>592</w:t>
      </w:r>
    </w:p>
    <w:p w:rsidR="00F842BC" w:rsidRDefault="00F842BC" w:rsidP="00F842BC">
      <w:pPr>
        <w:widowControl w:val="0"/>
        <w:rPr>
          <w:b/>
        </w:rPr>
      </w:pPr>
    </w:p>
    <w:p w:rsidR="00F842BC" w:rsidRDefault="00F842BC" w:rsidP="00F842BC">
      <w:pPr>
        <w:widowControl w:val="0"/>
      </w:pPr>
      <w:r w:rsidRPr="00F842BC">
        <w:rPr>
          <w:b/>
        </w:rPr>
        <w:t>STATUS INFORMATION</w:t>
      </w:r>
    </w:p>
    <w:p w:rsidR="00F842BC" w:rsidRDefault="00F842BC" w:rsidP="00F842BC">
      <w:pPr>
        <w:widowControl w:val="0"/>
      </w:pPr>
    </w:p>
    <w:p w:rsidR="00F842BC" w:rsidRDefault="00F842BC" w:rsidP="00F842BC">
      <w:pPr>
        <w:widowControl w:val="0"/>
      </w:pPr>
      <w:r>
        <w:t>General Bill</w:t>
      </w:r>
    </w:p>
    <w:p w:rsidR="00F842BC" w:rsidRDefault="00F842BC" w:rsidP="00F842BC">
      <w:pPr>
        <w:widowControl w:val="0"/>
      </w:pPr>
      <w:r>
        <w:t>Sponsors: Senators Corbin, Gambrell, Loftis, Rice, Shealy and Verdin</w:t>
      </w:r>
    </w:p>
    <w:p w:rsidR="00F842BC" w:rsidRDefault="00F842BC" w:rsidP="00F842BC">
      <w:pPr>
        <w:widowControl w:val="0"/>
      </w:pPr>
      <w:r>
        <w:t>Document Path: l:\s-res\tdc\003reti.kmm.tdc.docx</w:t>
      </w:r>
    </w:p>
    <w:p w:rsidR="00F842BC" w:rsidRDefault="00F842BC" w:rsidP="00F842BC">
      <w:pPr>
        <w:widowControl w:val="0"/>
      </w:pPr>
    </w:p>
    <w:p w:rsidR="00F842BC" w:rsidRDefault="00F842BC" w:rsidP="00F842BC">
      <w:pPr>
        <w:widowControl w:val="0"/>
      </w:pPr>
      <w:r>
        <w:t>Introduced in the Senate on February 23, 2021</w:t>
      </w:r>
    </w:p>
    <w:p w:rsidR="00F842BC" w:rsidRDefault="00F842BC" w:rsidP="00F842BC">
      <w:pPr>
        <w:widowControl w:val="0"/>
      </w:pPr>
      <w:r>
        <w:t xml:space="preserve">Currently residing in the Senate Committee on </w:t>
      </w:r>
      <w:r w:rsidRPr="00F842BC">
        <w:rPr>
          <w:b/>
        </w:rPr>
        <w:t>Judiciary</w:t>
      </w:r>
    </w:p>
    <w:p w:rsidR="00F842BC" w:rsidRDefault="00F842BC" w:rsidP="00F842BC">
      <w:pPr>
        <w:widowControl w:val="0"/>
      </w:pPr>
    </w:p>
    <w:p w:rsidR="00F842BC" w:rsidRDefault="00070973" w:rsidP="00F842BC">
      <w:pPr>
        <w:widowControl w:val="0"/>
      </w:pPr>
      <w:r>
        <w:t>Summary: Judges, retired</w:t>
      </w:r>
    </w:p>
    <w:p w:rsidR="00F842BC" w:rsidRDefault="00F842BC" w:rsidP="00F842BC">
      <w:pPr>
        <w:widowControl w:val="0"/>
      </w:pPr>
    </w:p>
    <w:p w:rsidR="00F842BC" w:rsidRDefault="00F842BC" w:rsidP="00F842BC">
      <w:pPr>
        <w:widowControl w:val="0"/>
      </w:pPr>
    </w:p>
    <w:p w:rsidR="00F842BC" w:rsidRDefault="00F842BC" w:rsidP="00F842BC">
      <w:pPr>
        <w:widowControl w:val="0"/>
        <w:tabs>
          <w:tab w:val="center" w:pos="590"/>
          <w:tab w:val="center" w:pos="1440"/>
          <w:tab w:val="left" w:pos="1872"/>
          <w:tab w:val="left" w:pos="9187"/>
        </w:tabs>
      </w:pPr>
      <w:r w:rsidRPr="00F842BC">
        <w:rPr>
          <w:b/>
        </w:rPr>
        <w:t>HISTORY OF LEGISLATIVE ACTIONS</w:t>
      </w:r>
    </w:p>
    <w:p w:rsidR="00F842BC" w:rsidRDefault="00F842BC" w:rsidP="00F842BC">
      <w:pPr>
        <w:widowControl w:val="0"/>
        <w:tabs>
          <w:tab w:val="center" w:pos="590"/>
          <w:tab w:val="center" w:pos="1440"/>
          <w:tab w:val="left" w:pos="1872"/>
          <w:tab w:val="left" w:pos="9187"/>
        </w:tabs>
      </w:pPr>
    </w:p>
    <w:p w:rsidR="00F842BC" w:rsidRPr="00F842BC" w:rsidRDefault="00F842BC" w:rsidP="00F842BC">
      <w:pPr>
        <w:widowControl w:val="0"/>
        <w:tabs>
          <w:tab w:val="center" w:pos="590"/>
          <w:tab w:val="center" w:pos="1440"/>
          <w:tab w:val="left" w:pos="1872"/>
          <w:tab w:val="left" w:pos="9187"/>
        </w:tabs>
      </w:pPr>
      <w:r w:rsidRPr="00F842BC">
        <w:rPr>
          <w:u w:val="single"/>
        </w:rPr>
        <w:tab/>
        <w:t>Date</w:t>
      </w:r>
      <w:r w:rsidRPr="00F842BC">
        <w:rPr>
          <w:u w:val="single"/>
        </w:rPr>
        <w:tab/>
        <w:t>Body</w:t>
      </w:r>
      <w:r w:rsidRPr="00F842BC">
        <w:rPr>
          <w:u w:val="single"/>
        </w:rPr>
        <w:tab/>
        <w:t>Action Description with journal page number</w:t>
      </w:r>
      <w:r w:rsidRPr="00F842BC">
        <w:rPr>
          <w:u w:val="single"/>
        </w:rPr>
        <w:tab/>
      </w:r>
    </w:p>
    <w:p w:rsidR="00D23D16" w:rsidRDefault="00D23D16" w:rsidP="00D23D16">
      <w:pPr>
        <w:widowControl w:val="0"/>
        <w:tabs>
          <w:tab w:val="right" w:pos="1008"/>
          <w:tab w:val="left" w:pos="1152"/>
          <w:tab w:val="left" w:pos="1872"/>
          <w:tab w:val="left" w:pos="9187"/>
        </w:tabs>
        <w:ind w:left="2088" w:hanging="2088"/>
      </w:pPr>
      <w:r>
        <w:tab/>
        <w:t>2/23/2021</w:t>
      </w:r>
      <w:r>
        <w:tab/>
        <w:t>Senate</w:t>
      </w:r>
      <w:r>
        <w:tab/>
        <w:t>Introduced and read first time (</w:t>
      </w:r>
      <w:hyperlink r:id="rId7" w:history="1">
        <w:r w:rsidRPr="006A0D2B">
          <w:rPr>
            <w:rStyle w:val="Hyperlink"/>
          </w:rPr>
          <w:t>Senate Journal</w:t>
        </w:r>
        <w:r w:rsidRPr="006A0D2B">
          <w:rPr>
            <w:rStyle w:val="Hyperlink"/>
          </w:rPr>
          <w:noBreakHyphen/>
          <w:t>page 4</w:t>
        </w:r>
      </w:hyperlink>
      <w:r>
        <w:t>)</w:t>
      </w:r>
    </w:p>
    <w:p w:rsidR="00D23D16" w:rsidRDefault="00D23D16" w:rsidP="00D23D16">
      <w:pPr>
        <w:widowControl w:val="0"/>
        <w:tabs>
          <w:tab w:val="right" w:pos="1008"/>
          <w:tab w:val="left" w:pos="1152"/>
          <w:tab w:val="left" w:pos="1872"/>
          <w:tab w:val="left" w:pos="9187"/>
        </w:tabs>
        <w:ind w:left="2088" w:hanging="2088"/>
      </w:pPr>
      <w:r>
        <w:tab/>
        <w:t>2/23/2021</w:t>
      </w:r>
      <w:r>
        <w:tab/>
        <w:t>Senate</w:t>
      </w:r>
      <w:r>
        <w:tab/>
        <w:t xml:space="preserve">Referred to Committee on </w:t>
      </w:r>
      <w:r w:rsidRPr="006A0D2B">
        <w:rPr>
          <w:b/>
        </w:rPr>
        <w:t>Judiciary</w:t>
      </w:r>
      <w:r>
        <w:t xml:space="preserve"> (</w:t>
      </w:r>
      <w:hyperlink r:id="rId8" w:history="1">
        <w:r w:rsidRPr="006A0D2B">
          <w:rPr>
            <w:rStyle w:val="Hyperlink"/>
          </w:rPr>
          <w:t>Senate Journal</w:t>
        </w:r>
        <w:r w:rsidRPr="006A0D2B">
          <w:rPr>
            <w:rStyle w:val="Hyperlink"/>
          </w:rPr>
          <w:noBreakHyphen/>
          <w:t>page 4</w:t>
        </w:r>
      </w:hyperlink>
      <w:r>
        <w:t>)</w:t>
      </w:r>
    </w:p>
    <w:p w:rsidR="00D23D16" w:rsidRDefault="00D23D16" w:rsidP="00D23D16">
      <w:pPr>
        <w:widowControl w:val="0"/>
        <w:tabs>
          <w:tab w:val="right" w:pos="1008"/>
          <w:tab w:val="left" w:pos="1152"/>
          <w:tab w:val="left" w:pos="1872"/>
          <w:tab w:val="left" w:pos="9187"/>
        </w:tabs>
        <w:ind w:left="2088" w:hanging="2088"/>
      </w:pPr>
    </w:p>
    <w:p w:rsidR="00F842BC" w:rsidRDefault="00F842BC" w:rsidP="00F842BC">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842BC">
          <w:rPr>
            <w:rStyle w:val="Hyperlink"/>
          </w:rPr>
          <w:t>legislative information</w:t>
        </w:r>
      </w:hyperlink>
      <w:r>
        <w:t xml:space="preserve"> at the website</w:t>
      </w:r>
    </w:p>
    <w:p w:rsidR="00F842BC" w:rsidRDefault="00F842BC" w:rsidP="00F842BC">
      <w:pPr>
        <w:widowControl w:val="0"/>
        <w:tabs>
          <w:tab w:val="right" w:pos="1008"/>
          <w:tab w:val="left" w:pos="1152"/>
          <w:tab w:val="left" w:pos="1872"/>
          <w:tab w:val="left" w:pos="9187"/>
        </w:tabs>
        <w:ind w:left="2088" w:hanging="2088"/>
      </w:pPr>
    </w:p>
    <w:p w:rsidR="00F842BC" w:rsidRPr="00F842BC" w:rsidRDefault="00F842BC" w:rsidP="00F842BC">
      <w:pPr>
        <w:widowControl w:val="0"/>
        <w:tabs>
          <w:tab w:val="right" w:pos="1008"/>
          <w:tab w:val="left" w:pos="1152"/>
          <w:tab w:val="left" w:pos="1872"/>
          <w:tab w:val="left" w:pos="9187"/>
        </w:tabs>
        <w:ind w:left="2088" w:hanging="2088"/>
      </w:pPr>
    </w:p>
    <w:p w:rsidR="00F842BC" w:rsidRDefault="00F842BC" w:rsidP="00F842BC">
      <w:pPr>
        <w:widowControl w:val="0"/>
      </w:pPr>
      <w:r w:rsidRPr="00F842BC">
        <w:rPr>
          <w:b/>
        </w:rPr>
        <w:t>VERSIONS OF THIS BILL</w:t>
      </w:r>
    </w:p>
    <w:p w:rsidR="00F842BC" w:rsidRDefault="00F842BC" w:rsidP="00F842BC">
      <w:pPr>
        <w:widowControl w:val="0"/>
      </w:pPr>
    </w:p>
    <w:p w:rsidR="00F842BC" w:rsidRDefault="00F14596" w:rsidP="00F842BC">
      <w:pPr>
        <w:widowControl w:val="0"/>
      </w:pPr>
      <w:hyperlink r:id="rId10" w:history="1">
        <w:r w:rsidR="00F842BC">
          <w:rPr>
            <w:rStyle w:val="Hyperlink"/>
          </w:rPr>
          <w:t>2/23/2021</w:t>
        </w:r>
      </w:hyperlink>
    </w:p>
    <w:p w:rsidR="00F842BC" w:rsidRDefault="00F842BC" w:rsidP="00F842BC"/>
    <w:p w:rsidR="00F842BC" w:rsidRDefault="00F842BC" w:rsidP="00F842BC">
      <w:pPr>
        <w:sectPr w:rsidR="00F842BC" w:rsidSect="00F842BC">
          <w:pgSz w:w="12240" w:h="15840" w:code="1"/>
          <w:pgMar w:top="1080" w:right="1440" w:bottom="1080" w:left="1440" w:header="720" w:footer="720" w:gutter="0"/>
          <w:cols w:space="720"/>
          <w:noEndnote/>
          <w:docGrid w:linePitch="360"/>
        </w:sectPr>
      </w:pPr>
    </w:p>
    <w:p w:rsidR="00BE1411" w:rsidRPr="00522CE0" w:rsidRDefault="00BE1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1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50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2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2-19-10(A) OF THE 1976 CODE, RELATING TO THE JUDICIAL MERIT SELECTION COMMISSION, </w:t>
      </w:r>
      <w:r w:rsidR="000B4D06">
        <w:rPr>
          <w:rFonts w:eastAsia="Times New Roman"/>
        </w:rPr>
        <w:t xml:space="preserve">TO </w:t>
      </w:r>
      <w:r>
        <w:rPr>
          <w:rFonts w:eastAsia="Times New Roman"/>
        </w:rPr>
        <w:t>DELET</w:t>
      </w:r>
      <w:r w:rsidR="000B4D06">
        <w:rPr>
          <w:rFonts w:eastAsia="Times New Roman"/>
        </w:rPr>
        <w:t>E</w:t>
      </w:r>
      <w:r>
        <w:rPr>
          <w:rFonts w:eastAsia="Times New Roman"/>
        </w:rPr>
        <w:t xml:space="preserve"> PROCEDURES TO REVIEW THE QUALIFICATIONS OF RETIRED JUDGES FOR CONTINUED JUDICIAL SERVICE; AND TO AMEND SECTION 2-19-100</w:t>
      </w:r>
      <w:r w:rsidR="000B4D06">
        <w:rPr>
          <w:rFonts w:eastAsia="Times New Roman"/>
        </w:rPr>
        <w:t xml:space="preserve"> OF THE 1976 CODE</w:t>
      </w:r>
      <w:r>
        <w:rPr>
          <w:rFonts w:eastAsia="Times New Roman"/>
        </w:rPr>
        <w:t xml:space="preserve">, RELATING TO THE ELIGIBILITY OF RETIRED JUDGES FOR APPOINTMENT, TO PROVIDE THAT </w:t>
      </w:r>
      <w:r w:rsidRPr="003C0481">
        <w:rPr>
          <w:rFonts w:eastAsia="Times New Roman"/>
        </w:rPr>
        <w:t>A RETIRED JUSTICE OR JUDGE IS PROHIBITED FROM ENGAGING IN CONTINUED JUDICIAL SERVICE FOLLOWING HIS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50DA" w:rsidRDefault="00D75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50DA" w:rsidRDefault="00D75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2899" w:rsidRDefault="00D750DA"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42899">
        <w:rPr>
          <w:rFonts w:eastAsia="Times New Roman"/>
        </w:rPr>
        <w:t>Section 2-19-10(A) of the 1976 Code is amended to read:</w:t>
      </w:r>
    </w:p>
    <w:p w:rsidR="00342899"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2899" w:rsidRPr="006066D3"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2-19-10.</w:t>
      </w:r>
      <w:r>
        <w:rPr>
          <w:rFonts w:eastAsia="Times New Roman"/>
        </w:rPr>
        <w:tab/>
        <w:t>(A)</w:t>
      </w:r>
      <w:r w:rsidR="000B4D06">
        <w:rPr>
          <w:rFonts w:eastAsia="Times New Roman"/>
          <w:u w:val="single"/>
        </w:rPr>
        <w:t>(1)</w:t>
      </w:r>
      <w:r>
        <w:rPr>
          <w:rFonts w:eastAsia="Times New Roman"/>
        </w:rPr>
        <w:tab/>
      </w:r>
      <w:r w:rsidRPr="006066D3">
        <w:rPr>
          <w:rFonts w:eastAsia="Times New Roman"/>
          <w:szCs w:val="24"/>
        </w:rPr>
        <w:t>Whenever an election is to be held by the General Assembly in Joint Session, for members of the judiciary, a Judicial Merit Selection Commission, composed of ten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101519">
        <w:rPr>
          <w:rFonts w:eastAsia="Times New Roman"/>
          <w:strike/>
          <w:szCs w:val="24"/>
        </w:rPr>
        <w:t>(1)</w:t>
      </w:r>
      <w:r>
        <w:rPr>
          <w:rFonts w:eastAsia="Times New Roman"/>
          <w:szCs w:val="24"/>
          <w:u w:val="single"/>
        </w:rPr>
        <w:t>(a)</w:t>
      </w:r>
      <w:r w:rsidR="00342899">
        <w:rPr>
          <w:rFonts w:eastAsia="Times New Roman"/>
          <w:szCs w:val="24"/>
        </w:rPr>
        <w:tab/>
      </w:r>
      <w:r w:rsidR="00342899" w:rsidRPr="006066D3">
        <w:rPr>
          <w:rFonts w:eastAsia="Times New Roman"/>
          <w:szCs w:val="24"/>
        </w:rPr>
        <w:t>the confidentiality of records and other information received concerning candidates for judicial office;</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101519">
        <w:rPr>
          <w:rFonts w:eastAsia="Times New Roman"/>
          <w:strike/>
          <w:szCs w:val="24"/>
        </w:rPr>
        <w:t>(2)</w:t>
      </w:r>
      <w:r>
        <w:rPr>
          <w:rFonts w:eastAsia="Times New Roman"/>
          <w:szCs w:val="24"/>
          <w:u w:val="single"/>
        </w:rPr>
        <w:t>(b)</w:t>
      </w:r>
      <w:r w:rsidR="00342899">
        <w:rPr>
          <w:rFonts w:eastAsia="Times New Roman"/>
          <w:szCs w:val="24"/>
        </w:rPr>
        <w:tab/>
      </w:r>
      <w:r w:rsidR="00342899" w:rsidRPr="006066D3">
        <w:rPr>
          <w:rFonts w:eastAsia="Times New Roman"/>
          <w:szCs w:val="24"/>
        </w:rPr>
        <w:t>the conduct of proceedings before the commission;</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sidR="00342899" w:rsidRPr="006066D3">
        <w:rPr>
          <w:rFonts w:eastAsia="Times New Roman"/>
          <w:szCs w:val="24"/>
        </w:rPr>
        <w:tab/>
      </w:r>
      <w:r w:rsidR="00342899" w:rsidRPr="006066D3">
        <w:rPr>
          <w:rFonts w:eastAsia="Times New Roman"/>
          <w:szCs w:val="24"/>
        </w:rPr>
        <w:tab/>
      </w:r>
      <w:r w:rsidR="00342899" w:rsidRPr="00101519">
        <w:rPr>
          <w:rFonts w:eastAsia="Times New Roman"/>
          <w:strike/>
          <w:szCs w:val="24"/>
        </w:rPr>
        <w:t>(3)</w:t>
      </w:r>
      <w:r>
        <w:rPr>
          <w:rFonts w:eastAsia="Times New Roman"/>
          <w:szCs w:val="24"/>
          <w:u w:val="single"/>
        </w:rPr>
        <w:t>(c)</w:t>
      </w:r>
      <w:r w:rsidR="00342899">
        <w:rPr>
          <w:rFonts w:eastAsia="Times New Roman"/>
          <w:szCs w:val="24"/>
        </w:rPr>
        <w:tab/>
      </w:r>
      <w:r w:rsidR="00342899" w:rsidRPr="006066D3">
        <w:rPr>
          <w:rFonts w:eastAsia="Times New Roman"/>
          <w:szCs w:val="24"/>
        </w:rPr>
        <w:t>receipt of public statements in support of or in opposition to any of the candidates;</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101519">
        <w:rPr>
          <w:rFonts w:eastAsia="Times New Roman"/>
          <w:strike/>
          <w:szCs w:val="24"/>
        </w:rPr>
        <w:t>(4)</w:t>
      </w:r>
      <w:r w:rsidR="00342899">
        <w:rPr>
          <w:rFonts w:eastAsia="Times New Roman"/>
          <w:szCs w:val="24"/>
        </w:rPr>
        <w:tab/>
      </w:r>
      <w:r w:rsidR="00342899" w:rsidRPr="006066D3">
        <w:rPr>
          <w:rFonts w:eastAsia="Times New Roman"/>
          <w:strike/>
          <w:szCs w:val="24"/>
        </w:rPr>
        <w:t>procedures to review the qualifications of retired judges for continued judicial service;</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6066D3">
        <w:rPr>
          <w:rFonts w:eastAsia="Times New Roman"/>
          <w:strike/>
          <w:szCs w:val="24"/>
        </w:rPr>
        <w:t>(5)</w:t>
      </w:r>
      <w:r w:rsidR="00A13AED" w:rsidRPr="00101519">
        <w:rPr>
          <w:rFonts w:eastAsia="Times New Roman"/>
          <w:szCs w:val="24"/>
          <w:u w:val="single"/>
        </w:rPr>
        <w:t>(d)</w:t>
      </w:r>
      <w:r w:rsidR="00342899">
        <w:rPr>
          <w:rFonts w:eastAsia="Times New Roman"/>
          <w:szCs w:val="24"/>
        </w:rPr>
        <w:tab/>
      </w:r>
      <w:r w:rsidR="00342899" w:rsidRPr="006066D3">
        <w:rPr>
          <w:rFonts w:eastAsia="Times New Roman"/>
          <w:szCs w:val="24"/>
        </w:rPr>
        <w:t>contacting incumbent judges regarding their desire to seek re</w:t>
      </w:r>
      <w:r w:rsidR="00256B35">
        <w:rPr>
          <w:rFonts w:eastAsia="Times New Roman"/>
          <w:szCs w:val="24"/>
        </w:rPr>
        <w:noBreakHyphen/>
      </w:r>
      <w:r w:rsidR="00342899" w:rsidRPr="006066D3">
        <w:rPr>
          <w:rFonts w:eastAsia="Times New Roman"/>
          <w:szCs w:val="24"/>
        </w:rPr>
        <w:t>election;</w:t>
      </w:r>
      <w:r w:rsidR="00342899">
        <w:rPr>
          <w:rFonts w:eastAsia="Times New Roman"/>
          <w:szCs w:val="24"/>
        </w:rPr>
        <w:t xml:space="preserve"> </w:t>
      </w:r>
      <w:r w:rsidR="00342899">
        <w:rPr>
          <w:rFonts w:eastAsia="Times New Roman"/>
          <w:szCs w:val="24"/>
          <w:u w:val="single"/>
        </w:rPr>
        <w:t>and</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6066D3">
        <w:rPr>
          <w:rFonts w:eastAsia="Times New Roman"/>
          <w:strike/>
          <w:szCs w:val="24"/>
        </w:rPr>
        <w:t>(6)</w:t>
      </w:r>
      <w:r w:rsidR="00342899">
        <w:rPr>
          <w:rFonts w:eastAsia="Times New Roman"/>
          <w:szCs w:val="24"/>
          <w:u w:val="single"/>
        </w:rPr>
        <w:t>(</w:t>
      </w:r>
      <w:r>
        <w:rPr>
          <w:rFonts w:eastAsia="Times New Roman"/>
          <w:szCs w:val="24"/>
          <w:u w:val="single"/>
        </w:rPr>
        <w:t>e</w:t>
      </w:r>
      <w:r w:rsidR="00342899">
        <w:rPr>
          <w:rFonts w:eastAsia="Times New Roman"/>
          <w:szCs w:val="24"/>
          <w:u w:val="single"/>
        </w:rPr>
        <w:t>)</w:t>
      </w:r>
      <w:r w:rsidR="00342899">
        <w:rPr>
          <w:rFonts w:eastAsia="Times New Roman"/>
          <w:szCs w:val="24"/>
        </w:rPr>
        <w:tab/>
      </w:r>
      <w:r w:rsidR="00342899" w:rsidRPr="006066D3">
        <w:rPr>
          <w:rFonts w:eastAsia="Times New Roman"/>
          <w:szCs w:val="24"/>
        </w:rPr>
        <w:t>prohibition against candidates communicating with individual members of the commission concerning the qualifications of candidates unless specifically authorized by the commission.</w:t>
      </w:r>
    </w:p>
    <w:p w:rsidR="00342899"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r>
      <w:r>
        <w:rPr>
          <w:rFonts w:eastAsia="Times New Roman"/>
          <w:szCs w:val="24"/>
          <w:u w:val="single"/>
        </w:rPr>
        <w:t>(2)</w:t>
      </w:r>
      <w:r w:rsidR="00342899" w:rsidRPr="006066D3">
        <w:rPr>
          <w:rFonts w:eastAsia="Times New Roman"/>
          <w:szCs w:val="24"/>
        </w:rPr>
        <w:tab/>
        <w:t>A member may succeed himself as chairman or vice chairman. Six members of the commission constitute a quorum at all meetings.</w:t>
      </w:r>
      <w:r w:rsidR="00342899">
        <w:rPr>
          <w:rFonts w:eastAsia="Times New Roman"/>
          <w:szCs w:val="24"/>
        </w:rPr>
        <w:t>”</w:t>
      </w:r>
    </w:p>
    <w:p w:rsidR="00342899"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2899"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2-19-100 of the 1976 Code is amended to read:</w:t>
      </w:r>
    </w:p>
    <w:p w:rsidR="00342899"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0DA"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2-19-100.</w:t>
      </w:r>
      <w:r>
        <w:rPr>
          <w:rFonts w:eastAsia="Times New Roman"/>
        </w:rPr>
        <w:tab/>
      </w:r>
      <w:r w:rsidRPr="003C0481">
        <w:rPr>
          <w:strike/>
        </w:rPr>
        <w:t>In order to be eligible for appointment by the Chief Justice to serve, any retired justice or judge of this State must have been reviewed by the Judicial Merit Selection Commission under procedures it shall establish to review retired judges' qualifications for continued judicial service and be found by the commission to be qualified to serve in these situations within four years of the date of his appointment to serve, except that if a justice or judge retired before the expiration of his then current term, no further review of that justice or judge is required until that term would have expired</w:t>
      </w:r>
      <w:r>
        <w:t xml:space="preserve"> </w:t>
      </w:r>
      <w:r>
        <w:rPr>
          <w:u w:val="single"/>
        </w:rPr>
        <w:t>A retired justice or judge is prohibited from engaging in continued judicial service following his retirement</w:t>
      </w:r>
      <w:r w:rsidRPr="00101519">
        <w:t>.</w:t>
      </w:r>
      <w:r>
        <w:t>”</w:t>
      </w:r>
    </w:p>
    <w:p w:rsidR="00D750DA" w:rsidRDefault="00D75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0DA" w:rsidRPr="00522CE0" w:rsidRDefault="00D75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42899">
        <w:rPr>
          <w:rFonts w:eastAsia="Times New Roman"/>
        </w:rPr>
        <w:t>3</w:t>
      </w:r>
      <w:r>
        <w:rPr>
          <w:rFonts w:eastAsia="Times New Roman"/>
        </w:rPr>
        <w:t>.</w:t>
      </w:r>
      <w:r>
        <w:rPr>
          <w:rFonts w:eastAsia="Times New Roman"/>
        </w:rPr>
        <w:tab/>
        <w:t>This act takes effect upon approval by the Governor.</w:t>
      </w:r>
    </w:p>
    <w:p w:rsidR="00BF2CD3" w:rsidRDefault="00256B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42BC" w:rsidRDefault="00F842BC" w:rsidP="00F842BC">
      <w:pPr>
        <w:suppressAutoHyphens/>
        <w:jc w:val="both"/>
        <w:rPr>
          <w:rFonts w:eastAsia="Times New Roman"/>
        </w:rPr>
      </w:pPr>
    </w:p>
    <w:sectPr w:rsidR="00F842BC" w:rsidSect="00F842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307" w:rsidRDefault="00BB0307" w:rsidP="00522CE0">
      <w:r>
        <w:separator/>
      </w:r>
    </w:p>
  </w:endnote>
  <w:endnote w:type="continuationSeparator" w:id="0">
    <w:p w:rsidR="00BB0307" w:rsidRDefault="00BB03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DF23FB-C78A-4108-98C0-51E427CE023D}"/>
    <w:embedBold r:id="rId2" w:fontKey="{D6FF7316-F489-4E53-8CA9-0C98B393ED51}"/>
  </w:font>
  <w:font w:name="Calibri">
    <w:panose1 w:val="020F0502020204030204"/>
    <w:charset w:val="00"/>
    <w:family w:val="swiss"/>
    <w:pitch w:val="variable"/>
    <w:sig w:usb0="E0002EFF" w:usb1="C000247B" w:usb2="00000009" w:usb3="00000000" w:csb0="000001FF" w:csb1="00000000"/>
    <w:embedRegular r:id="rId3" w:fontKey="{54678260-5297-4D72-85BF-4D218E5CE2D2}"/>
    <w:embedBold r:id="rId4" w:fontKey="{907A0A8B-ADA5-44D1-AE5A-AEB94B49236D}"/>
  </w:font>
  <w:font w:name="Segoe UI">
    <w:panose1 w:val="020B0502040204020203"/>
    <w:charset w:val="00"/>
    <w:family w:val="swiss"/>
    <w:pitch w:val="variable"/>
    <w:sig w:usb0="E4002EFF" w:usb1="C000E47F" w:usb2="00000009" w:usb3="00000000" w:csb0="000001FF" w:csb1="00000000"/>
    <w:embedRegular r:id="rId5" w:fontKey="{5664009E-D5EC-4305-B919-599F8FABF5A9}"/>
  </w:font>
  <w:font w:name="Cambria">
    <w:panose1 w:val="02040503050406030204"/>
    <w:charset w:val="00"/>
    <w:family w:val="roman"/>
    <w:pitch w:val="variable"/>
    <w:sig w:usb0="E00006FF" w:usb1="420024FF" w:usb2="02000000" w:usb3="00000000" w:csb0="0000019F" w:csb1="00000000"/>
    <w:embedRegular r:id="rId6" w:fontKey="{BE89776B-A794-43BF-A4E4-E1F9A78CB0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2BC" w:rsidRPr="00BE1411" w:rsidRDefault="00F842BC" w:rsidP="00BE1411">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sidR="000709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307" w:rsidRDefault="00BB0307" w:rsidP="00522CE0">
      <w:r>
        <w:separator/>
      </w:r>
    </w:p>
  </w:footnote>
  <w:footnote w:type="continuationSeparator" w:id="0">
    <w:p w:rsidR="00BB0307" w:rsidRDefault="00BB03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TI.KMM.TDC"/>
    <w:docVar w:name="CoverAttorneyInitials" w:val="KMM"/>
    <w:docVar w:name="CoverAttorneyLastName" w:val="Moffitt"/>
    <w:docVar w:name="CoverBillType" w:val="b"/>
    <w:docVar w:name="CoverSenator" w:val="TDC"/>
    <w:docVar w:name="dvBillNumber" w:val="592"/>
    <w:docVar w:name="dvBillNumberPrefix" w:val="S. "/>
    <w:docVar w:name="dvOriginalBody" w:val="Senate"/>
    <w:docVar w:name="fulldraftpath" w:val="L:\S-RES\TDC\003RETI.KMM.TDC.DOCX"/>
    <w:docVar w:name="NameofBody" w:val="S"/>
    <w:docVar w:name="vgroup2" w:val="S-RES"/>
  </w:docVars>
  <w:rsids>
    <w:rsidRoot w:val="00D750DA"/>
    <w:rsid w:val="00042AC1"/>
    <w:rsid w:val="00046516"/>
    <w:rsid w:val="00070973"/>
    <w:rsid w:val="00072458"/>
    <w:rsid w:val="0007601D"/>
    <w:rsid w:val="000B0720"/>
    <w:rsid w:val="000B4D06"/>
    <w:rsid w:val="000B5EAF"/>
    <w:rsid w:val="00101519"/>
    <w:rsid w:val="001315B2"/>
    <w:rsid w:val="001532F0"/>
    <w:rsid w:val="00170561"/>
    <w:rsid w:val="00174988"/>
    <w:rsid w:val="00186AC9"/>
    <w:rsid w:val="0018798D"/>
    <w:rsid w:val="00197DF1"/>
    <w:rsid w:val="001B3DD9"/>
    <w:rsid w:val="001B7E5D"/>
    <w:rsid w:val="001D3BAC"/>
    <w:rsid w:val="00216025"/>
    <w:rsid w:val="00245C4E"/>
    <w:rsid w:val="00256B35"/>
    <w:rsid w:val="002C1321"/>
    <w:rsid w:val="002C2031"/>
    <w:rsid w:val="002C5896"/>
    <w:rsid w:val="002D3BED"/>
    <w:rsid w:val="002D4BCD"/>
    <w:rsid w:val="00307C2B"/>
    <w:rsid w:val="00315D04"/>
    <w:rsid w:val="00342899"/>
    <w:rsid w:val="00383247"/>
    <w:rsid w:val="003D6E2B"/>
    <w:rsid w:val="003E7597"/>
    <w:rsid w:val="00413EBF"/>
    <w:rsid w:val="0044020F"/>
    <w:rsid w:val="00450668"/>
    <w:rsid w:val="00454138"/>
    <w:rsid w:val="00454AA0"/>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3AED"/>
    <w:rsid w:val="00A4011E"/>
    <w:rsid w:val="00A86015"/>
    <w:rsid w:val="00A9594E"/>
    <w:rsid w:val="00AE59C8"/>
    <w:rsid w:val="00B10098"/>
    <w:rsid w:val="00B5790D"/>
    <w:rsid w:val="00B945C5"/>
    <w:rsid w:val="00BA20EA"/>
    <w:rsid w:val="00BB0307"/>
    <w:rsid w:val="00BB5AFC"/>
    <w:rsid w:val="00BC026E"/>
    <w:rsid w:val="00BC0A56"/>
    <w:rsid w:val="00BD172D"/>
    <w:rsid w:val="00BE1411"/>
    <w:rsid w:val="00BF2CD3"/>
    <w:rsid w:val="00C45366"/>
    <w:rsid w:val="00C57023"/>
    <w:rsid w:val="00C74052"/>
    <w:rsid w:val="00CB187A"/>
    <w:rsid w:val="00CC0EC7"/>
    <w:rsid w:val="00CC251A"/>
    <w:rsid w:val="00CF2C98"/>
    <w:rsid w:val="00D1088B"/>
    <w:rsid w:val="00D1286F"/>
    <w:rsid w:val="00D14DE6"/>
    <w:rsid w:val="00D156D2"/>
    <w:rsid w:val="00D23D16"/>
    <w:rsid w:val="00D35486"/>
    <w:rsid w:val="00D53E29"/>
    <w:rsid w:val="00D750DA"/>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70D7"/>
    <w:rsid w:val="00F51241"/>
    <w:rsid w:val="00F52959"/>
    <w:rsid w:val="00F55884"/>
    <w:rsid w:val="00F842B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7BBC653-2A50-4621-B049-B7AC4EB0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B4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D06"/>
    <w:rPr>
      <w:rFonts w:ascii="Segoe UI" w:hAnsi="Segoe UI" w:cs="Segoe UI"/>
      <w:sz w:val="18"/>
      <w:szCs w:val="18"/>
    </w:rPr>
  </w:style>
  <w:style w:type="character" w:styleId="Hyperlink">
    <w:name w:val="Hyperlink"/>
    <w:basedOn w:val="DefaultParagraphFont"/>
    <w:uiPriority w:val="99"/>
    <w:unhideWhenUsed/>
    <w:rsid w:val="00F84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92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DA6B3-9C98-42E6-A261-C7C322D7E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592: Subject not yet available - South Carolina Legislature Online</dc:title>
  <dc:subject/>
  <dc:creator>Rebecca Landau</dc:creator>
  <cp:keywords/>
  <dc:description/>
  <cp:lastModifiedBy>Derrick Williamson</cp:lastModifiedBy>
  <cp:revision>2</cp:revision>
  <dcterms:created xsi:type="dcterms:W3CDTF">2021-02-27T18:59:00Z</dcterms:created>
  <dcterms:modified xsi:type="dcterms:W3CDTF">2021-02-27T18:59:00Z</dcterms:modified>
</cp:coreProperties>
</file>