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b/>
          <w:szCs w:val="20"/>
        </w:rPr>
        <w:t>South Carolina General Assembly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szCs w:val="20"/>
        </w:rPr>
        <w:t>124th Session, 2021-2022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C7A45" w:rsidRPr="000C7A45" w:rsidRDefault="00864860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A61, R75, S627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b/>
          <w:szCs w:val="20"/>
        </w:rPr>
        <w:t>STATUS INFORMATION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szCs w:val="20"/>
        </w:rPr>
        <w:t>General Bill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szCs w:val="20"/>
        </w:rPr>
        <w:t>Sponsors: Senators Bennett, Adams, Kimbrell, M. Johnson, Davis, Turner, Campsen, Hembree, Alexander, Williams, Cromer, McElveen, Loftis, Climer, Talley, Rice, Garrett, Rankin, Leatherman, Young and Gustafson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szCs w:val="20"/>
        </w:rPr>
        <w:t>Document Path: l:\council\bills\df\13035sa21.docx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szCs w:val="20"/>
        </w:rPr>
        <w:t>Companion/Similar bill(s): 3978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01657" w:rsidRDefault="00201657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2, 2021</w:t>
      </w:r>
    </w:p>
    <w:p w:rsidR="00201657" w:rsidRDefault="00201657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6, 2021</w:t>
      </w:r>
    </w:p>
    <w:p w:rsidR="00201657" w:rsidRDefault="00201657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11, 2021</w:t>
      </w:r>
    </w:p>
    <w:p w:rsidR="00201657" w:rsidRDefault="00201657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12, 2021</w:t>
      </w:r>
    </w:p>
    <w:p w:rsidR="00201657" w:rsidRDefault="00201657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17, 2021, Signed</w:t>
      </w:r>
    </w:p>
    <w:p w:rsidR="00201657" w:rsidRDefault="00201657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szCs w:val="20"/>
        </w:rPr>
        <w:t>Summary: Pass through trade and business income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C7A45" w:rsidRPr="000C7A45" w:rsidRDefault="000C7A45" w:rsidP="000C7A4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b/>
          <w:szCs w:val="20"/>
        </w:rPr>
        <w:t>HISTORY OF LEGISLATIVE ACTIONS</w:t>
      </w:r>
    </w:p>
    <w:p w:rsidR="000C7A45" w:rsidRPr="000C7A45" w:rsidRDefault="000C7A45" w:rsidP="000C7A4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0C7A45" w:rsidRPr="000C7A45" w:rsidRDefault="000C7A45" w:rsidP="000C7A4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szCs w:val="20"/>
          <w:u w:val="single"/>
        </w:rPr>
        <w:tab/>
        <w:t>Date</w:t>
      </w:r>
      <w:r w:rsidRPr="000C7A45">
        <w:rPr>
          <w:rFonts w:eastAsia="Times New Roman" w:cs="Times New Roman"/>
          <w:szCs w:val="20"/>
          <w:u w:val="single"/>
        </w:rPr>
        <w:tab/>
        <w:t>Body</w:t>
      </w:r>
      <w:r w:rsidRPr="000C7A45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0C7A45">
        <w:rPr>
          <w:rFonts w:eastAsia="Times New Roman" w:cs="Times New Roman"/>
          <w:szCs w:val="20"/>
          <w:u w:val="single"/>
        </w:rPr>
        <w:tab/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6" w:history="1">
        <w:r w:rsidRPr="0030158E">
          <w:rPr>
            <w:rStyle w:val="Hyperlink"/>
            <w:rFonts w:cs="Times New Roman"/>
          </w:rPr>
          <w:t>Senate Journal</w:t>
        </w:r>
        <w:r w:rsidRPr="0030158E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30158E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7" w:history="1">
        <w:r w:rsidRPr="0030158E">
          <w:rPr>
            <w:rStyle w:val="Hyperlink"/>
            <w:rFonts w:cs="Times New Roman"/>
          </w:rPr>
          <w:t>Senate Journal</w:t>
        </w:r>
        <w:r w:rsidRPr="0030158E">
          <w:rPr>
            <w:rStyle w:val="Hyperlink"/>
            <w:rFonts w:cs="Times New Roman"/>
          </w:rPr>
          <w:noBreakHyphen/>
          <w:t>page 6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30158E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8" w:history="1">
        <w:r w:rsidRPr="0030158E">
          <w:rPr>
            <w:rStyle w:val="Hyperlink"/>
            <w:rFonts w:cs="Times New Roman"/>
          </w:rPr>
          <w:t>Senate Journal</w:t>
        </w:r>
        <w:r w:rsidRPr="0030158E">
          <w:rPr>
            <w:rStyle w:val="Hyperlink"/>
            <w:rFonts w:cs="Times New Roman"/>
          </w:rPr>
          <w:noBreakHyphen/>
          <w:t>page 12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9" w:history="1">
        <w:r w:rsidRPr="0030158E">
          <w:rPr>
            <w:rStyle w:val="Hyperlink"/>
            <w:rFonts w:cs="Times New Roman"/>
          </w:rPr>
          <w:t>Senate Journal</w:t>
        </w:r>
        <w:r w:rsidRPr="0030158E">
          <w:rPr>
            <w:rStyle w:val="Hyperlink"/>
            <w:rFonts w:cs="Times New Roman"/>
          </w:rPr>
          <w:noBreakHyphen/>
          <w:t>page 32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0" w:history="1">
        <w:r w:rsidRPr="0030158E">
          <w:rPr>
            <w:rStyle w:val="Hyperlink"/>
            <w:rFonts w:cs="Times New Roman"/>
          </w:rPr>
          <w:t>Senate Journal</w:t>
        </w:r>
        <w:r w:rsidRPr="0030158E">
          <w:rPr>
            <w:rStyle w:val="Hyperlink"/>
            <w:rFonts w:cs="Times New Roman"/>
          </w:rPr>
          <w:noBreakHyphen/>
          <w:t>page 32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45  Nays</w:t>
      </w:r>
      <w:r>
        <w:rPr>
          <w:rFonts w:cs="Times New Roman"/>
        </w:rPr>
        <w:noBreakHyphen/>
        <w:t>0 (</w:t>
      </w:r>
      <w:hyperlink r:id="rId11" w:history="1">
        <w:r w:rsidRPr="0030158E">
          <w:rPr>
            <w:rStyle w:val="Hyperlink"/>
            <w:rFonts w:cs="Times New Roman"/>
          </w:rPr>
          <w:t>Senate Journal</w:t>
        </w:r>
        <w:r w:rsidRPr="0030158E">
          <w:rPr>
            <w:rStyle w:val="Hyperlink"/>
            <w:rFonts w:cs="Times New Roman"/>
          </w:rPr>
          <w:noBreakHyphen/>
          <w:t>page 32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2" w:history="1">
        <w:r w:rsidRPr="0030158E">
          <w:rPr>
            <w:rStyle w:val="Hyperlink"/>
            <w:rFonts w:cs="Times New Roman"/>
          </w:rPr>
          <w:t>Senate Journal</w:t>
        </w:r>
        <w:r w:rsidRPr="0030158E">
          <w:rPr>
            <w:rStyle w:val="Hyperlink"/>
            <w:rFonts w:cs="Times New Roman"/>
          </w:rPr>
          <w:noBreakHyphen/>
          <w:t>page 15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3" w:history="1">
        <w:r w:rsidRPr="0030158E">
          <w:rPr>
            <w:rStyle w:val="Hyperlink"/>
            <w:rFonts w:cs="Times New Roman"/>
          </w:rPr>
          <w:t>House Journal</w:t>
        </w:r>
        <w:r w:rsidRPr="0030158E">
          <w:rPr>
            <w:rStyle w:val="Hyperlink"/>
            <w:rFonts w:cs="Times New Roman"/>
          </w:rPr>
          <w:noBreakHyphen/>
          <w:t>page 130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30158E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14" w:history="1">
        <w:r w:rsidRPr="0030158E">
          <w:rPr>
            <w:rStyle w:val="Hyperlink"/>
            <w:rFonts w:cs="Times New Roman"/>
          </w:rPr>
          <w:t>House Journal</w:t>
        </w:r>
        <w:r w:rsidRPr="0030158E">
          <w:rPr>
            <w:rStyle w:val="Hyperlink"/>
            <w:rFonts w:cs="Times New Roman"/>
          </w:rPr>
          <w:noBreakHyphen/>
          <w:t>page 130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30158E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15" w:history="1">
        <w:r w:rsidRPr="0030158E">
          <w:rPr>
            <w:rStyle w:val="Hyperlink"/>
            <w:rFonts w:cs="Times New Roman"/>
          </w:rPr>
          <w:t>House Journal</w:t>
        </w:r>
        <w:r w:rsidRPr="0030158E">
          <w:rPr>
            <w:rStyle w:val="Hyperlink"/>
            <w:rFonts w:cs="Times New Roman"/>
          </w:rPr>
          <w:noBreakHyphen/>
          <w:t>page 78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Debate adjourned until  Tues., 5</w:t>
      </w:r>
      <w:r>
        <w:rPr>
          <w:rFonts w:cs="Times New Roman"/>
        </w:rPr>
        <w:noBreakHyphen/>
        <w:t>11</w:t>
      </w:r>
      <w:r>
        <w:rPr>
          <w:rFonts w:cs="Times New Roman"/>
        </w:rPr>
        <w:noBreakHyphen/>
        <w:t>21 (</w:t>
      </w:r>
      <w:hyperlink r:id="rId16" w:history="1">
        <w:r w:rsidRPr="0030158E">
          <w:rPr>
            <w:rStyle w:val="Hyperlink"/>
            <w:rFonts w:cs="Times New Roman"/>
          </w:rPr>
          <w:t>House Journal</w:t>
        </w:r>
        <w:r w:rsidRPr="0030158E">
          <w:rPr>
            <w:rStyle w:val="Hyperlink"/>
            <w:rFonts w:cs="Times New Roman"/>
          </w:rPr>
          <w:noBreakHyphen/>
          <w:t>page 21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Requests for debate</w:t>
      </w:r>
      <w:r>
        <w:rPr>
          <w:rFonts w:cs="Times New Roman"/>
        </w:rPr>
        <w:noBreakHyphen/>
        <w:t>Rep(s).  King, Matthews, Dilliard, Gilliard, JL Johnson, Brawley, Tedder, Pendarvis, W Williams, R Williams, KO Johnson, Wetmore, Ott, Murray, Wheeler, Govan, Clyburn (</w:t>
      </w:r>
      <w:hyperlink r:id="rId17" w:history="1">
        <w:r w:rsidRPr="0030158E">
          <w:rPr>
            <w:rStyle w:val="Hyperlink"/>
            <w:rFonts w:cs="Times New Roman"/>
          </w:rPr>
          <w:t>House Journal</w:t>
        </w:r>
        <w:r w:rsidRPr="0030158E">
          <w:rPr>
            <w:rStyle w:val="Hyperlink"/>
            <w:rFonts w:cs="Times New Roman"/>
          </w:rPr>
          <w:noBreakHyphen/>
          <w:t>page 26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8" w:history="1">
        <w:r w:rsidRPr="0030158E">
          <w:rPr>
            <w:rStyle w:val="Hyperlink"/>
            <w:rFonts w:cs="Times New Roman"/>
          </w:rPr>
          <w:t>House Journal</w:t>
        </w:r>
        <w:r w:rsidRPr="0030158E">
          <w:rPr>
            <w:rStyle w:val="Hyperlink"/>
            <w:rFonts w:cs="Times New Roman"/>
          </w:rPr>
          <w:noBreakHyphen/>
          <w:t>page 75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9" w:history="1">
        <w:r w:rsidRPr="0030158E">
          <w:rPr>
            <w:rStyle w:val="Hyperlink"/>
            <w:rFonts w:cs="Times New Roman"/>
          </w:rPr>
          <w:t>House Journal</w:t>
        </w:r>
        <w:r w:rsidRPr="0030158E">
          <w:rPr>
            <w:rStyle w:val="Hyperlink"/>
            <w:rFonts w:cs="Times New Roman"/>
          </w:rPr>
          <w:noBreakHyphen/>
          <w:t>page 75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104  Nays</w:t>
      </w:r>
      <w:r>
        <w:rPr>
          <w:rFonts w:cs="Times New Roman"/>
        </w:rPr>
        <w:noBreakHyphen/>
        <w:t>0 (</w:t>
      </w:r>
      <w:hyperlink r:id="rId20" w:history="1">
        <w:r w:rsidRPr="0030158E">
          <w:rPr>
            <w:rStyle w:val="Hyperlink"/>
            <w:rFonts w:cs="Times New Roman"/>
          </w:rPr>
          <w:t>House Journal</w:t>
        </w:r>
        <w:r w:rsidRPr="0030158E">
          <w:rPr>
            <w:rStyle w:val="Hyperlink"/>
            <w:rFonts w:cs="Times New Roman"/>
          </w:rPr>
          <w:noBreakHyphen/>
          <w:t>page 77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Returned to Senate with amendments (</w:t>
      </w:r>
      <w:hyperlink r:id="rId21" w:history="1">
        <w:r w:rsidRPr="0030158E">
          <w:rPr>
            <w:rStyle w:val="Hyperlink"/>
            <w:rFonts w:cs="Times New Roman"/>
          </w:rPr>
          <w:t>House Journal</w:t>
        </w:r>
        <w:r w:rsidRPr="0030158E">
          <w:rPr>
            <w:rStyle w:val="Hyperlink"/>
            <w:rFonts w:cs="Times New Roman"/>
          </w:rPr>
          <w:noBreakHyphen/>
          <w:t>page 43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Concurred in House amendment and enrolled (</w:t>
      </w:r>
      <w:hyperlink r:id="rId22" w:history="1">
        <w:r w:rsidRPr="0030158E">
          <w:rPr>
            <w:rStyle w:val="Hyperlink"/>
            <w:rFonts w:cs="Times New Roman"/>
          </w:rPr>
          <w:t>Senate Journal</w:t>
        </w:r>
        <w:r w:rsidRPr="0030158E">
          <w:rPr>
            <w:rStyle w:val="Hyperlink"/>
            <w:rFonts w:cs="Times New Roman"/>
          </w:rPr>
          <w:noBreakHyphen/>
          <w:t>page 20</w:t>
        </w:r>
      </w:hyperlink>
      <w:r>
        <w:rPr>
          <w:rFonts w:cs="Times New Roman"/>
        </w:rPr>
        <w:t>)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5/13/2021</w:t>
      </w:r>
      <w:r>
        <w:rPr>
          <w:rFonts w:cs="Times New Roman"/>
        </w:rPr>
        <w:tab/>
      </w:r>
      <w:r>
        <w:rPr>
          <w:rFonts w:cs="Times New Roman"/>
        </w:rPr>
        <w:tab/>
        <w:t>Ratified R  75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05/17/21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Act No.  61</w:t>
      </w:r>
    </w:p>
    <w:p w:rsidR="00864860" w:rsidRDefault="00864860" w:rsidP="008648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C7A45" w:rsidRPr="000C7A45" w:rsidRDefault="000C7A45" w:rsidP="000C7A4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szCs w:val="20"/>
        </w:rPr>
        <w:t xml:space="preserve">View the latest </w:t>
      </w:r>
      <w:hyperlink r:id="rId23" w:history="1">
        <w:r w:rsidRPr="000C7A45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0C7A45">
        <w:rPr>
          <w:rFonts w:eastAsia="Times New Roman" w:cs="Times New Roman"/>
          <w:szCs w:val="20"/>
        </w:rPr>
        <w:t xml:space="preserve"> at the website</w:t>
      </w:r>
    </w:p>
    <w:p w:rsidR="000C7A45" w:rsidRPr="000C7A45" w:rsidRDefault="000C7A45" w:rsidP="000C7A4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0C7A45" w:rsidRPr="000C7A45" w:rsidRDefault="000C7A45" w:rsidP="000C7A4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C7A45">
        <w:rPr>
          <w:rFonts w:eastAsia="Times New Roman" w:cs="Times New Roman"/>
          <w:b/>
          <w:szCs w:val="20"/>
        </w:rPr>
        <w:t>VERSIONS OF THIS BILL</w:t>
      </w:r>
    </w:p>
    <w:p w:rsidR="000C7A45" w:rsidRPr="000C7A45" w:rsidRDefault="000C7A45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C7A45" w:rsidRPr="000C7A45" w:rsidRDefault="00CB3D42" w:rsidP="000C7A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4" w:history="1">
        <w:r w:rsidR="000C7A45" w:rsidRPr="000C7A45">
          <w:rPr>
            <w:rFonts w:eastAsia="Times New Roman" w:cs="Times New Roman"/>
            <w:color w:val="0000FF" w:themeColor="hyperlink"/>
            <w:szCs w:val="20"/>
            <w:u w:val="single"/>
          </w:rPr>
          <w:t>3/2/2021</w:t>
        </w:r>
      </w:hyperlink>
    </w:p>
    <w:p w:rsidR="000C7A45" w:rsidRPr="000C7A45" w:rsidRDefault="00CB3D42" w:rsidP="000C7A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0C7A45" w:rsidRPr="000C7A45">
          <w:rPr>
            <w:rFonts w:eastAsia="Times New Roman" w:cs="Times New Roman"/>
            <w:color w:val="0000FF" w:themeColor="hyperlink"/>
            <w:szCs w:val="20"/>
            <w:u w:val="single"/>
          </w:rPr>
          <w:t>3/17/2021</w:t>
        </w:r>
      </w:hyperlink>
    </w:p>
    <w:p w:rsidR="000C7A45" w:rsidRPr="000C7A45" w:rsidRDefault="00CB3D42" w:rsidP="000C7A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0C7A45" w:rsidRPr="000C7A45">
          <w:rPr>
            <w:rFonts w:eastAsia="Times New Roman" w:cs="Times New Roman"/>
            <w:color w:val="0000FF" w:themeColor="hyperlink"/>
            <w:szCs w:val="20"/>
            <w:u w:val="single"/>
          </w:rPr>
          <w:t>3/23/2021</w:t>
        </w:r>
      </w:hyperlink>
    </w:p>
    <w:p w:rsidR="000C7A45" w:rsidRPr="000C7A45" w:rsidRDefault="00CB3D42" w:rsidP="000C7A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0C7A45" w:rsidRPr="000C7A45">
          <w:rPr>
            <w:rFonts w:eastAsia="Times New Roman" w:cs="Times New Roman"/>
            <w:color w:val="0000FF" w:themeColor="hyperlink"/>
            <w:szCs w:val="20"/>
            <w:u w:val="single"/>
          </w:rPr>
          <w:t>5/4/2021</w:t>
        </w:r>
      </w:hyperlink>
    </w:p>
    <w:p w:rsidR="000C7A45" w:rsidRPr="000C7A45" w:rsidRDefault="00CB3D42" w:rsidP="000C7A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0C7A45" w:rsidRPr="000C7A45">
          <w:rPr>
            <w:rFonts w:eastAsia="Times New Roman" w:cs="Times New Roman"/>
            <w:color w:val="0000FF" w:themeColor="hyperlink"/>
            <w:szCs w:val="20"/>
            <w:u w:val="single"/>
          </w:rPr>
          <w:t>5/11/2021</w:t>
        </w:r>
      </w:hyperlink>
    </w:p>
    <w:p w:rsidR="000C7A45" w:rsidRPr="000C7A45" w:rsidRDefault="00CB3D42" w:rsidP="000C7A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0C7A45" w:rsidRPr="000C7A45">
          <w:rPr>
            <w:rFonts w:eastAsia="Times New Roman" w:cs="Times New Roman"/>
            <w:color w:val="0000FF" w:themeColor="hyperlink"/>
            <w:szCs w:val="20"/>
            <w:u w:val="single"/>
          </w:rPr>
          <w:t>5/12/2021</w:t>
        </w:r>
      </w:hyperlink>
    </w:p>
    <w:p w:rsidR="000C7A45" w:rsidRPr="000C7A45" w:rsidRDefault="000C7A45" w:rsidP="000C7A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0C7A45" w:rsidRDefault="000C7A45" w:rsidP="000C7A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C7A45" w:rsidSect="000C7A4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152730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(A61, R75, S627)</w:t>
      </w:r>
    </w:p>
    <w:p w:rsidR="00152730" w:rsidRPr="008836A5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152730" w:rsidRPr="000C7A45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C7A45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0C7A45">
        <w:rPr>
          <w:rFonts w:cs="Times New Roman"/>
          <w:b/>
          <w:color w:val="000000" w:themeColor="text1"/>
          <w:u w:color="000000" w:themeColor="text1"/>
        </w:rPr>
        <w:t>TO AMEND SECTION 12</w:t>
      </w:r>
      <w:r w:rsidRPr="000C7A45">
        <w:rPr>
          <w:rFonts w:cs="Times New Roman"/>
          <w:b/>
          <w:color w:val="000000" w:themeColor="text1"/>
          <w:u w:color="000000" w:themeColor="text1"/>
        </w:rPr>
        <w:noBreakHyphen/>
        <w:t>6</w:t>
      </w:r>
      <w:r w:rsidRPr="000C7A45">
        <w:rPr>
          <w:rFonts w:cs="Times New Roman"/>
          <w:b/>
          <w:color w:val="000000" w:themeColor="text1"/>
          <w:u w:color="000000" w:themeColor="text1"/>
        </w:rPr>
        <w:noBreakHyphen/>
        <w:t>545, CODE OF LAWS OF SOUTH CAROLINA, 1976, RELATING TO INCOME TAX RATES FOR PASS</w:t>
      </w:r>
      <w:r w:rsidRPr="000C7A45">
        <w:rPr>
          <w:rFonts w:cs="Times New Roman"/>
          <w:b/>
          <w:color w:val="000000" w:themeColor="text1"/>
          <w:u w:color="000000" w:themeColor="text1"/>
        </w:rPr>
        <w:noBreakHyphen/>
        <w:t>THROUGH TRADE AND BUSINESS INCOME, SO AS TO CREATE AN ELECTION TO TAX CERTAIN PARTNERSHIPS AND “S” CORPORATIONS AT THE ENTITY LEVEL.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043C6">
        <w:rPr>
          <w:rFonts w:cs="Times New Roman"/>
        </w:rPr>
        <w:t>Be it enacted by the General Assembly of the State of South Carolina:</w:t>
      </w:r>
    </w:p>
    <w:p w:rsidR="00152730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52730" w:rsidRPr="00FC33B2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Income tax for pass</w:t>
      </w:r>
      <w:r>
        <w:rPr>
          <w:rFonts w:cs="Times New Roman"/>
          <w:b/>
        </w:rPr>
        <w:noBreakHyphen/>
        <w:t>through entities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  <w:r w:rsidRPr="005043C6">
        <w:rPr>
          <w:rFonts w:cs="Times New Roman"/>
          <w:u w:color="000000"/>
        </w:rPr>
        <w:t>SECTION</w:t>
      </w:r>
      <w:r w:rsidRPr="005043C6">
        <w:rPr>
          <w:rFonts w:cs="Times New Roman"/>
          <w:u w:color="000000"/>
        </w:rPr>
        <w:tab/>
        <w:t>1.</w:t>
      </w:r>
      <w:r w:rsidRPr="005043C6">
        <w:rPr>
          <w:rFonts w:cs="Times New Roman"/>
          <w:u w:color="000000"/>
        </w:rPr>
        <w:tab/>
        <w:t>Section 12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6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545 of the 1976 Code is amended by adding a new subsection at the end to read: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043C6">
        <w:rPr>
          <w:rFonts w:cs="Times New Roman"/>
          <w:u w:color="000000"/>
        </w:rPr>
        <w:tab/>
        <w:t>“</w:t>
      </w:r>
      <w:r w:rsidRPr="005043C6">
        <w:rPr>
          <w:rFonts w:cs="Times New Roman"/>
        </w:rPr>
        <w:t>(G)(1)(a)</w:t>
      </w:r>
      <w:r w:rsidRPr="005043C6">
        <w:rPr>
          <w:rFonts w:cs="Times New Roman"/>
        </w:rPr>
        <w:tab/>
      </w:r>
      <w:r w:rsidRPr="00FC33B2">
        <w:rPr>
          <w:rFonts w:cs="Times New Roman"/>
        </w:rPr>
        <w:t>‘</w:t>
      </w:r>
      <w:r w:rsidRPr="005043C6">
        <w:rPr>
          <w:rFonts w:cs="Times New Roman"/>
        </w:rPr>
        <w:t>Qualified entity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 means a partnership or </w:t>
      </w:r>
      <w:r w:rsidRPr="00FC33B2">
        <w:rPr>
          <w:rFonts w:cs="Times New Roman"/>
        </w:rPr>
        <w:t>‘</w:t>
      </w:r>
      <w:r w:rsidRPr="005043C6">
        <w:rPr>
          <w:rFonts w:cs="Times New Roman"/>
        </w:rPr>
        <w:t>S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 </w:t>
      </w:r>
      <w:r>
        <w:rPr>
          <w:rFonts w:cs="Times New Roman"/>
        </w:rPr>
        <w:t>C</w:t>
      </w:r>
      <w:r w:rsidRPr="005043C6">
        <w:rPr>
          <w:rFonts w:cs="Times New Roman"/>
        </w:rPr>
        <w:t xml:space="preserve">orporation including a limited liability company taxed as a partnership or </w:t>
      </w:r>
      <w:r w:rsidRPr="00FC33B2">
        <w:rPr>
          <w:rFonts w:cs="Times New Roman"/>
        </w:rPr>
        <w:t>‘</w:t>
      </w:r>
      <w:r w:rsidRPr="005043C6">
        <w:rPr>
          <w:rFonts w:cs="Times New Roman"/>
        </w:rPr>
        <w:t>S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 </w:t>
      </w:r>
      <w:r>
        <w:rPr>
          <w:rFonts w:cs="Times New Roman"/>
        </w:rPr>
        <w:t>C</w:t>
      </w:r>
      <w:r w:rsidRPr="005043C6">
        <w:rPr>
          <w:rFonts w:cs="Times New Roman"/>
        </w:rPr>
        <w:t xml:space="preserve">orporation, where all of its owners are qualified owners or partnerships, and, where those partnerships are owned directly or through other partnerships by qualified owners. 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043C6">
        <w:rPr>
          <w:rFonts w:cs="Times New Roman"/>
        </w:rPr>
        <w:tab/>
      </w:r>
      <w:r w:rsidRPr="005043C6">
        <w:rPr>
          <w:rFonts w:cs="Times New Roman"/>
        </w:rPr>
        <w:tab/>
      </w:r>
      <w:r w:rsidRPr="005043C6">
        <w:rPr>
          <w:rFonts w:cs="Times New Roman"/>
        </w:rPr>
        <w:tab/>
        <w:t>(b)</w:t>
      </w:r>
      <w:r w:rsidRPr="005043C6">
        <w:rPr>
          <w:rFonts w:cs="Times New Roman"/>
        </w:rPr>
        <w:tab/>
      </w:r>
      <w:r w:rsidRPr="00FC33B2">
        <w:rPr>
          <w:rFonts w:cs="Times New Roman"/>
        </w:rPr>
        <w:t>‘</w:t>
      </w:r>
      <w:r w:rsidRPr="005043C6">
        <w:rPr>
          <w:rFonts w:cs="Times New Roman"/>
        </w:rPr>
        <w:t>Qualified owner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 means a partner or shareholder of a qualified entity that is an individual, estate, trust, or any other entity except those taxed or exempted from tax pursuant to Sections 12</w:t>
      </w:r>
      <w:r>
        <w:rPr>
          <w:rFonts w:cs="Times New Roman"/>
        </w:rPr>
        <w:noBreakHyphen/>
      </w:r>
      <w:r w:rsidRPr="005043C6">
        <w:rPr>
          <w:rFonts w:cs="Times New Roman"/>
        </w:rPr>
        <w:t>6</w:t>
      </w:r>
      <w:r>
        <w:rPr>
          <w:rFonts w:cs="Times New Roman"/>
        </w:rPr>
        <w:noBreakHyphen/>
      </w:r>
      <w:r w:rsidRPr="005043C6">
        <w:rPr>
          <w:rFonts w:cs="Times New Roman"/>
        </w:rPr>
        <w:t>530 through 12</w:t>
      </w:r>
      <w:r>
        <w:rPr>
          <w:rFonts w:cs="Times New Roman"/>
        </w:rPr>
        <w:noBreakHyphen/>
      </w:r>
      <w:r w:rsidRPr="005043C6">
        <w:rPr>
          <w:rFonts w:cs="Times New Roman"/>
        </w:rPr>
        <w:t>6</w:t>
      </w:r>
      <w:r>
        <w:rPr>
          <w:rFonts w:cs="Times New Roman"/>
        </w:rPr>
        <w:noBreakHyphen/>
      </w:r>
      <w:r w:rsidRPr="005043C6">
        <w:rPr>
          <w:rFonts w:cs="Times New Roman"/>
        </w:rPr>
        <w:t>540 and 12</w:t>
      </w:r>
      <w:r>
        <w:rPr>
          <w:rFonts w:cs="Times New Roman"/>
        </w:rPr>
        <w:noBreakHyphen/>
      </w:r>
      <w:r w:rsidRPr="005043C6">
        <w:rPr>
          <w:rFonts w:cs="Times New Roman"/>
        </w:rPr>
        <w:t>6</w:t>
      </w:r>
      <w:r>
        <w:rPr>
          <w:rFonts w:cs="Times New Roman"/>
        </w:rPr>
        <w:noBreakHyphen/>
      </w:r>
      <w:r w:rsidRPr="005043C6">
        <w:rPr>
          <w:rFonts w:cs="Times New Roman"/>
        </w:rPr>
        <w:t xml:space="preserve">550 and except for any other entity exempt from South Carolina income tax. 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  <w:u w:color="000000"/>
        </w:rPr>
        <w:tab/>
        <w:t>(</w:t>
      </w:r>
      <w:r w:rsidRPr="005043C6">
        <w:rPr>
          <w:rFonts w:cs="Times New Roman"/>
        </w:rPr>
        <w:t>2</w:t>
      </w:r>
      <w:r w:rsidRPr="005043C6">
        <w:rPr>
          <w:rFonts w:cs="Times New Roman"/>
          <w:u w:color="000000"/>
        </w:rPr>
        <w:t>)</w:t>
      </w: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</w:rPr>
        <w:t>A qualified entity</w:t>
      </w:r>
      <w:r w:rsidRPr="005043C6">
        <w:rPr>
          <w:rFonts w:cs="Times New Roman"/>
          <w:u w:color="000000"/>
        </w:rPr>
        <w:t xml:space="preserve"> may elect annually under this subsection to have </w:t>
      </w:r>
      <w:r w:rsidRPr="005043C6">
        <w:rPr>
          <w:rFonts w:cs="Times New Roman"/>
        </w:rPr>
        <w:t xml:space="preserve">its </w:t>
      </w:r>
      <w:r w:rsidRPr="005043C6">
        <w:rPr>
          <w:rFonts w:cs="Times New Roman"/>
          <w:u w:color="000000"/>
        </w:rPr>
        <w:t xml:space="preserve">income </w:t>
      </w:r>
      <w:r w:rsidRPr="005043C6">
        <w:rPr>
          <w:rFonts w:cs="Times New Roman"/>
        </w:rPr>
        <w:t>taxed</w:t>
      </w:r>
      <w:r w:rsidRPr="005043C6">
        <w:rPr>
          <w:rFonts w:cs="Times New Roman"/>
          <w:u w:color="000000"/>
        </w:rPr>
        <w:t xml:space="preserve"> on its active trade or business income at the rate provided in subsection (B)(2) imposed on the </w:t>
      </w:r>
      <w:r w:rsidRPr="005043C6">
        <w:rPr>
          <w:rFonts w:cs="Times New Roman"/>
        </w:rPr>
        <w:t xml:space="preserve">qualified </w:t>
      </w:r>
      <w:r w:rsidRPr="005043C6">
        <w:rPr>
          <w:rFonts w:cs="Times New Roman"/>
          <w:u w:color="000000"/>
        </w:rPr>
        <w:t>entity itself. Such elections must be made no later than the due date for filing the applicable income tax return, including any extensions.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  <w:u w:color="000000"/>
        </w:rPr>
        <w:tab/>
        <w:t>(</w:t>
      </w:r>
      <w:r w:rsidRPr="005043C6">
        <w:rPr>
          <w:rFonts w:cs="Times New Roman"/>
        </w:rPr>
        <w:t>3</w:t>
      </w:r>
      <w:r w:rsidRPr="005043C6">
        <w:rPr>
          <w:rFonts w:cs="Times New Roman"/>
          <w:u w:color="000000"/>
        </w:rPr>
        <w:t>)</w:t>
      </w:r>
      <w:r w:rsidRPr="005043C6">
        <w:rPr>
          <w:rFonts w:cs="Times New Roman"/>
          <w:u w:color="000000"/>
        </w:rPr>
        <w:tab/>
        <w:t xml:space="preserve">In computing South Carolina taxable income, a qualified owner shall exclude active trade or business income from an electing </w:t>
      </w:r>
      <w:r w:rsidRPr="005043C6">
        <w:rPr>
          <w:rFonts w:cs="Times New Roman"/>
        </w:rPr>
        <w:t>qualified</w:t>
      </w:r>
      <w:r w:rsidRPr="005043C6">
        <w:rPr>
          <w:rFonts w:cs="Times New Roman"/>
          <w:u w:color="000000"/>
        </w:rPr>
        <w:t xml:space="preserve"> entity provided that the </w:t>
      </w:r>
      <w:r w:rsidRPr="005043C6">
        <w:rPr>
          <w:rFonts w:cs="Times New Roman"/>
        </w:rPr>
        <w:t>qualified</w:t>
      </w:r>
      <w:r w:rsidRPr="005043C6">
        <w:rPr>
          <w:rFonts w:cs="Times New Roman"/>
          <w:u w:color="000000"/>
        </w:rPr>
        <w:t xml:space="preserve"> entity properly filed an income tax return and paid the taxes pursuant to this subsection that included the active trade or business income or loss.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  <w:u w:color="000000"/>
        </w:rPr>
        <w:tab/>
        <w:t>(</w:t>
      </w:r>
      <w:r w:rsidRPr="005043C6">
        <w:rPr>
          <w:rFonts w:cs="Times New Roman"/>
        </w:rPr>
        <w:t>4</w:t>
      </w:r>
      <w:r w:rsidRPr="005043C6">
        <w:rPr>
          <w:rFonts w:cs="Times New Roman"/>
          <w:u w:color="000000"/>
        </w:rPr>
        <w:t>)</w:t>
      </w: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</w:rPr>
        <w:t xml:space="preserve">Active </w:t>
      </w:r>
      <w:r w:rsidRPr="005043C6">
        <w:rPr>
          <w:rFonts w:cs="Times New Roman"/>
          <w:u w:color="000000"/>
        </w:rPr>
        <w:t xml:space="preserve">trade or business losses of the </w:t>
      </w:r>
      <w:r w:rsidRPr="005043C6">
        <w:rPr>
          <w:rFonts w:cs="Times New Roman"/>
        </w:rPr>
        <w:t>qualified</w:t>
      </w:r>
      <w:r w:rsidRPr="005043C6">
        <w:rPr>
          <w:rFonts w:cs="Times New Roman"/>
          <w:u w:color="000000"/>
        </w:rPr>
        <w:t xml:space="preserve"> owner from other pass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through entities that are reported directly by such owner may not reduce tax at a rate higher than the rate provided in subsection (B)(2).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  <w:u w:color="000000"/>
        </w:rPr>
        <w:tab/>
        <w:t>(5)</w:t>
      </w:r>
      <w:r w:rsidRPr="005043C6">
        <w:rPr>
          <w:rFonts w:cs="Times New Roman"/>
          <w:u w:color="000000"/>
        </w:rPr>
        <w:tab/>
        <w:t>Active trade or business income for which this subsection is elected shall be apportioned by the pass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through entity pursuant to Section 12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6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2240, and none of it shall be treated as income from personal services that is allocated pursuant to Section 12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6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2220(6).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  <w:r w:rsidRPr="005043C6">
        <w:rPr>
          <w:rFonts w:cs="Times New Roman"/>
          <w:u w:color="000000"/>
        </w:rPr>
        <w:lastRenderedPageBreak/>
        <w:tab/>
      </w:r>
      <w:r w:rsidRPr="005043C6">
        <w:rPr>
          <w:rFonts w:cs="Times New Roman"/>
          <w:u w:color="000000"/>
        </w:rPr>
        <w:tab/>
        <w:t>(</w:t>
      </w:r>
      <w:r w:rsidRPr="005043C6">
        <w:rPr>
          <w:rFonts w:cs="Times New Roman"/>
        </w:rPr>
        <w:t>6</w:t>
      </w:r>
      <w:r w:rsidRPr="005043C6">
        <w:rPr>
          <w:rFonts w:cs="Times New Roman"/>
          <w:u w:color="000000"/>
        </w:rPr>
        <w:t>)</w:t>
      </w:r>
      <w:r w:rsidRPr="005043C6">
        <w:rPr>
          <w:rFonts w:cs="Times New Roman"/>
          <w:u w:color="000000"/>
        </w:rPr>
        <w:tab/>
        <w:t>Section 12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8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 xml:space="preserve">590, dealing with tax withholding on distributions to nonresident shareholders of </w:t>
      </w:r>
      <w:r w:rsidRPr="00FC33B2">
        <w:rPr>
          <w:rFonts w:cs="Times New Roman"/>
          <w:u w:color="000000"/>
        </w:rPr>
        <w:t>‘</w:t>
      </w:r>
      <w:r w:rsidRPr="005043C6">
        <w:rPr>
          <w:rFonts w:cs="Times New Roman"/>
          <w:u w:color="000000"/>
        </w:rPr>
        <w:t>S</w:t>
      </w:r>
      <w:r w:rsidRPr="00FC33B2">
        <w:rPr>
          <w:rFonts w:cs="Times New Roman"/>
          <w:u w:color="000000"/>
        </w:rPr>
        <w:t>’</w:t>
      </w:r>
      <w:r w:rsidRPr="005043C6"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>C</w:t>
      </w:r>
      <w:r w:rsidRPr="005043C6">
        <w:rPr>
          <w:rFonts w:cs="Times New Roman"/>
          <w:u w:color="000000"/>
        </w:rPr>
        <w:t xml:space="preserve">orporations and nonresident partners, does not apply to electing </w:t>
      </w:r>
      <w:r w:rsidRPr="005043C6">
        <w:rPr>
          <w:rFonts w:cs="Times New Roman"/>
        </w:rPr>
        <w:t>qualified</w:t>
      </w:r>
      <w:r w:rsidRPr="005043C6">
        <w:rPr>
          <w:rFonts w:cs="Times New Roman"/>
          <w:u w:color="000000"/>
        </w:rPr>
        <w:t xml:space="preserve"> entities to the extent of the tax the electing entities pay on their active trade or business income.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  <w:u w:color="000000"/>
        </w:rPr>
        <w:tab/>
        <w:t>(</w:t>
      </w:r>
      <w:r w:rsidRPr="005043C6">
        <w:rPr>
          <w:rFonts w:cs="Times New Roman"/>
        </w:rPr>
        <w:t>7</w:t>
      </w:r>
      <w:r w:rsidRPr="005043C6">
        <w:rPr>
          <w:rFonts w:cs="Times New Roman"/>
          <w:u w:color="000000"/>
        </w:rPr>
        <w:t>)</w:t>
      </w:r>
      <w:r w:rsidRPr="005043C6">
        <w:rPr>
          <w:rFonts w:cs="Times New Roman"/>
          <w:u w:color="000000"/>
        </w:rPr>
        <w:tab/>
        <w:t xml:space="preserve">For tax years beginning after 2021, an electing </w:t>
      </w:r>
      <w:r w:rsidRPr="005043C6">
        <w:rPr>
          <w:rFonts w:cs="Times New Roman"/>
        </w:rPr>
        <w:t>qualified</w:t>
      </w:r>
      <w:r w:rsidRPr="005043C6">
        <w:rPr>
          <w:rFonts w:cs="Times New Roman"/>
          <w:u w:color="000000"/>
        </w:rPr>
        <w:t xml:space="preserve"> entity shall submit estimated tax payments pursuant to Section 12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6</w:t>
      </w:r>
      <w:r>
        <w:rPr>
          <w:rFonts w:cs="Times New Roman"/>
          <w:u w:color="000000"/>
        </w:rPr>
        <w:noBreakHyphen/>
      </w:r>
      <w:r w:rsidRPr="005043C6">
        <w:rPr>
          <w:rFonts w:cs="Times New Roman"/>
          <w:u w:color="000000"/>
        </w:rPr>
        <w:t>3910.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  <w:u w:color="000000"/>
        </w:rPr>
        <w:tab/>
        <w:t>(</w:t>
      </w:r>
      <w:r w:rsidRPr="005043C6">
        <w:rPr>
          <w:rFonts w:cs="Times New Roman"/>
        </w:rPr>
        <w:t>8</w:t>
      </w:r>
      <w:r w:rsidRPr="005043C6">
        <w:rPr>
          <w:rFonts w:cs="Times New Roman"/>
          <w:u w:color="000000"/>
        </w:rPr>
        <w:t>)</w:t>
      </w:r>
      <w:r w:rsidRPr="005043C6">
        <w:rPr>
          <w:rFonts w:cs="Times New Roman"/>
          <w:u w:color="000000"/>
        </w:rPr>
        <w:tab/>
        <w:t xml:space="preserve">If the electing entity fails to pay the amount owed to the department with respect to income as a result of the election, the department may collect the amount from the electing entity or </w:t>
      </w:r>
      <w:r w:rsidRPr="005043C6">
        <w:rPr>
          <w:rFonts w:cs="Times New Roman"/>
        </w:rPr>
        <w:t xml:space="preserve">its direct or indirect owners </w:t>
      </w:r>
      <w:r w:rsidRPr="005043C6">
        <w:rPr>
          <w:rFonts w:cs="Times New Roman"/>
          <w:u w:color="000000"/>
        </w:rPr>
        <w:t>based upon their proportionate share of the income, or both.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  <w:u w:color="000000"/>
        </w:rPr>
        <w:tab/>
      </w:r>
      <w:r w:rsidRPr="005043C6">
        <w:rPr>
          <w:rFonts w:cs="Times New Roman"/>
        </w:rPr>
        <w:t>(9)</w:t>
      </w:r>
      <w:r w:rsidRPr="005043C6">
        <w:rPr>
          <w:rFonts w:cs="Times New Roman"/>
        </w:rPr>
        <w:tab/>
        <w:t xml:space="preserve">The basis of both resident and nonresident shareholders of a qualified </w:t>
      </w:r>
      <w:r w:rsidRPr="00FC33B2">
        <w:rPr>
          <w:rFonts w:cs="Times New Roman"/>
        </w:rPr>
        <w:t>‘</w:t>
      </w:r>
      <w:r w:rsidRPr="005043C6">
        <w:rPr>
          <w:rFonts w:cs="Times New Roman"/>
        </w:rPr>
        <w:t>S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 Corporation in their stock of the qualified </w:t>
      </w:r>
      <w:r w:rsidRPr="00FC33B2">
        <w:rPr>
          <w:rFonts w:cs="Times New Roman"/>
        </w:rPr>
        <w:t>‘</w:t>
      </w:r>
      <w:r w:rsidRPr="005043C6">
        <w:rPr>
          <w:rFonts w:cs="Times New Roman"/>
        </w:rPr>
        <w:t>S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 Corporation shall be determined as if the election under subsection (G)(2) had not been made and each of the shareholders of the qualified </w:t>
      </w:r>
      <w:r w:rsidRPr="00FC33B2">
        <w:rPr>
          <w:rFonts w:cs="Times New Roman"/>
        </w:rPr>
        <w:t>‘</w:t>
      </w:r>
      <w:r w:rsidRPr="005043C6">
        <w:rPr>
          <w:rFonts w:cs="Times New Roman"/>
        </w:rPr>
        <w:t>S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 Corporation had properly taken into account each shareholder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s pro rata share of the qualified </w:t>
      </w:r>
      <w:r w:rsidRPr="00FC33B2">
        <w:rPr>
          <w:rFonts w:cs="Times New Roman"/>
        </w:rPr>
        <w:t>‘</w:t>
      </w:r>
      <w:r w:rsidRPr="005043C6">
        <w:rPr>
          <w:rFonts w:cs="Times New Roman"/>
        </w:rPr>
        <w:t>S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 Corporation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s items of income, loss, and deduction in the manner required with respect to an </w:t>
      </w:r>
      <w:r w:rsidRPr="00FC33B2">
        <w:rPr>
          <w:rFonts w:cs="Times New Roman"/>
        </w:rPr>
        <w:t>‘</w:t>
      </w:r>
      <w:r w:rsidRPr="005043C6">
        <w:rPr>
          <w:rFonts w:cs="Times New Roman"/>
        </w:rPr>
        <w:t>S</w:t>
      </w:r>
      <w:r w:rsidRPr="00FC33B2">
        <w:rPr>
          <w:rFonts w:cs="Times New Roman"/>
        </w:rPr>
        <w:t>’</w:t>
      </w:r>
      <w:r w:rsidRPr="005043C6">
        <w:rPr>
          <w:rFonts w:cs="Times New Roman"/>
        </w:rPr>
        <w:t xml:space="preserve"> Corporation for which no such election is in effect. The basis of a qualified partnership, including a limited liability company taxed as a partnership</w:t>
      </w:r>
      <w:r>
        <w:rPr>
          <w:rFonts w:cs="Times New Roman"/>
        </w:rPr>
        <w:t>,</w:t>
      </w:r>
      <w:r w:rsidRPr="005043C6">
        <w:rPr>
          <w:rFonts w:cs="Times New Roman"/>
        </w:rPr>
        <w:t xml:space="preserve"> shall be determined in the same manner.”</w:t>
      </w:r>
    </w:p>
    <w:p w:rsidR="00152730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</w:p>
    <w:p w:rsidR="00152730" w:rsidRPr="00FC33B2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u w:color="000000"/>
        </w:rPr>
      </w:pPr>
      <w:r>
        <w:rPr>
          <w:rFonts w:cs="Times New Roman"/>
          <w:b/>
          <w:u w:color="000000"/>
        </w:rPr>
        <w:t>Time effective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/>
        </w:rPr>
      </w:pP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043C6">
        <w:rPr>
          <w:rFonts w:cs="Times New Roman"/>
          <w:u w:color="000000"/>
        </w:rPr>
        <w:t>SECTION</w:t>
      </w:r>
      <w:r w:rsidRPr="005043C6">
        <w:rPr>
          <w:rFonts w:cs="Times New Roman"/>
          <w:u w:color="000000"/>
        </w:rPr>
        <w:tab/>
        <w:t>2.</w:t>
      </w:r>
      <w:r w:rsidRPr="005043C6">
        <w:rPr>
          <w:rFonts w:cs="Times New Roman"/>
          <w:u w:color="000000"/>
        </w:rPr>
        <w:tab/>
        <w:t>This act takes effect upon approval by the Governor and first applies to tax years beginning after 2020.</w:t>
      </w:r>
    </w:p>
    <w:p w:rsidR="00152730" w:rsidRPr="005043C6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52730" w:rsidRDefault="00152730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</w:t>
      </w:r>
    </w:p>
    <w:p w:rsidR="00152730" w:rsidRDefault="00152730" w:rsidP="00152730">
      <w:pPr>
        <w:jc w:val="both"/>
        <w:rPr>
          <w:color w:val="000000" w:themeColor="text1"/>
        </w:rPr>
      </w:pPr>
    </w:p>
    <w:p w:rsidR="00152730" w:rsidRDefault="00152730" w:rsidP="00152730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3426C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 </w:t>
      </w:r>
    </w:p>
    <w:p w:rsidR="00152730" w:rsidRDefault="00152730" w:rsidP="00152730">
      <w:pPr>
        <w:jc w:val="center"/>
        <w:rPr>
          <w:color w:val="000000" w:themeColor="text1"/>
        </w:rPr>
      </w:pPr>
    </w:p>
    <w:p w:rsidR="00152730" w:rsidRDefault="00152730" w:rsidP="00152730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0C7A45" w:rsidRPr="003979C9" w:rsidRDefault="000C7A45" w:rsidP="001527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0C7A45" w:rsidRPr="003979C9" w:rsidSect="000C7A45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73" w:rsidRDefault="003D7E73" w:rsidP="007D5FAC">
      <w:r>
        <w:separator/>
      </w:r>
    </w:p>
  </w:endnote>
  <w:endnote w:type="continuationSeparator" w:id="0">
    <w:p w:rsidR="003D7E73" w:rsidRDefault="003D7E7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45" w:rsidRPr="000C7A45" w:rsidRDefault="000C7A45" w:rsidP="000C7A45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5273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45" w:rsidRDefault="000C7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73" w:rsidRDefault="003D7E73" w:rsidP="007D5FAC">
      <w:r>
        <w:separator/>
      </w:r>
    </w:p>
  </w:footnote>
  <w:footnote w:type="continuationSeparator" w:id="0">
    <w:p w:rsidR="003D7E73" w:rsidRDefault="003D7E7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627"/>
    <w:docVar w:name="ActSecretary" w:val="Turner"/>
    <w:docVar w:name="ActSIdno" w:val="(96)  627DG21"/>
    <w:docVar w:name="clipname" w:val="627DG21"/>
    <w:docVar w:name="dvBillNumber" w:val="627"/>
    <w:docVar w:name="dvBillNumberPrefix" w:val="S"/>
    <w:docVar w:name="dvOriginalBody" w:val="Senate"/>
    <w:docVar w:name="OrigSENATEBillNo" w:val="627"/>
    <w:docVar w:name="SENATEACTFULLPATH" w:val="L:\COUNCIL\ACTS\627DG21.DOCX"/>
    <w:docVar w:name="WhatActtype" w:val="AN ACT"/>
  </w:docVars>
  <w:rsids>
    <w:rsidRoot w:val="003D7E73"/>
    <w:rsid w:val="00002DE0"/>
    <w:rsid w:val="00004B02"/>
    <w:rsid w:val="00017F29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2F9B"/>
    <w:rsid w:val="000A6151"/>
    <w:rsid w:val="000A6BCA"/>
    <w:rsid w:val="000B03AD"/>
    <w:rsid w:val="000B316D"/>
    <w:rsid w:val="000B36EE"/>
    <w:rsid w:val="000B3728"/>
    <w:rsid w:val="000B56CB"/>
    <w:rsid w:val="000C7A45"/>
    <w:rsid w:val="000D356E"/>
    <w:rsid w:val="000D6F51"/>
    <w:rsid w:val="000F0C3D"/>
    <w:rsid w:val="000F4902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4FF6"/>
    <w:rsid w:val="00135DDF"/>
    <w:rsid w:val="00136AA0"/>
    <w:rsid w:val="00141278"/>
    <w:rsid w:val="0014525A"/>
    <w:rsid w:val="001519E2"/>
    <w:rsid w:val="00152730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5A28"/>
    <w:rsid w:val="001B65B6"/>
    <w:rsid w:val="001B78F9"/>
    <w:rsid w:val="001B7FF5"/>
    <w:rsid w:val="001C1ED7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1657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859C2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2DA8"/>
    <w:rsid w:val="00304605"/>
    <w:rsid w:val="003049A0"/>
    <w:rsid w:val="00305689"/>
    <w:rsid w:val="0031739F"/>
    <w:rsid w:val="003219FC"/>
    <w:rsid w:val="0032380E"/>
    <w:rsid w:val="00325D1F"/>
    <w:rsid w:val="00327D8E"/>
    <w:rsid w:val="003348FE"/>
    <w:rsid w:val="00334EAC"/>
    <w:rsid w:val="003414FD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979C9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D7E73"/>
    <w:rsid w:val="003F15B0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52DFD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42FC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0DD8"/>
    <w:rsid w:val="006C493C"/>
    <w:rsid w:val="006C7535"/>
    <w:rsid w:val="006C7D00"/>
    <w:rsid w:val="006C7DDE"/>
    <w:rsid w:val="006F22C0"/>
    <w:rsid w:val="006F290C"/>
    <w:rsid w:val="006F363E"/>
    <w:rsid w:val="007009F2"/>
    <w:rsid w:val="0070193C"/>
    <w:rsid w:val="00704FF9"/>
    <w:rsid w:val="007052EC"/>
    <w:rsid w:val="00707063"/>
    <w:rsid w:val="007127A6"/>
    <w:rsid w:val="007257FC"/>
    <w:rsid w:val="00731C9E"/>
    <w:rsid w:val="00734C77"/>
    <w:rsid w:val="00737039"/>
    <w:rsid w:val="007373C7"/>
    <w:rsid w:val="007469F9"/>
    <w:rsid w:val="00747825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4163A"/>
    <w:rsid w:val="00841A98"/>
    <w:rsid w:val="00841BFC"/>
    <w:rsid w:val="008449B6"/>
    <w:rsid w:val="00855672"/>
    <w:rsid w:val="00860CD2"/>
    <w:rsid w:val="00864860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C50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69B3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6EA6"/>
    <w:rsid w:val="009C170D"/>
    <w:rsid w:val="009D0B32"/>
    <w:rsid w:val="009D4A6C"/>
    <w:rsid w:val="009D75E7"/>
    <w:rsid w:val="009F42DA"/>
    <w:rsid w:val="00A03978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52D79"/>
    <w:rsid w:val="00A61397"/>
    <w:rsid w:val="00A62F8F"/>
    <w:rsid w:val="00A64E80"/>
    <w:rsid w:val="00A73974"/>
    <w:rsid w:val="00A74007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06FCB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0A34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04D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77F4"/>
    <w:rsid w:val="00D00681"/>
    <w:rsid w:val="00D04DCB"/>
    <w:rsid w:val="00D1180E"/>
    <w:rsid w:val="00D11F29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9786B"/>
    <w:rsid w:val="00DA1730"/>
    <w:rsid w:val="00DA77C1"/>
    <w:rsid w:val="00DB01BE"/>
    <w:rsid w:val="00DB1297"/>
    <w:rsid w:val="00DC093F"/>
    <w:rsid w:val="00DC6CFE"/>
    <w:rsid w:val="00DC7BA4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36DD9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1B84"/>
    <w:rsid w:val="00EB223A"/>
    <w:rsid w:val="00EC47CE"/>
    <w:rsid w:val="00EC6AE8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284B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3B2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42F8F0F-09FC-4B61-AA52-86923536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7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8F69B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7A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06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210317.docx" TargetMode="External"/><Relationship Id="rId13" Type="http://schemas.openxmlformats.org/officeDocument/2006/relationships/hyperlink" Target="file:///h:\hj\20210406.docx" TargetMode="External"/><Relationship Id="rId18" Type="http://schemas.openxmlformats.org/officeDocument/2006/relationships/hyperlink" Target="file:///h:\hj\20210511.docx" TargetMode="External"/><Relationship Id="rId26" Type="http://schemas.openxmlformats.org/officeDocument/2006/relationships/hyperlink" Target="file:///p:\pprever\2021-22\627_20210323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hj\20210512.docx" TargetMode="External"/><Relationship Id="rId7" Type="http://schemas.openxmlformats.org/officeDocument/2006/relationships/hyperlink" Target="file:///h:\sj\20210302.docx" TargetMode="External"/><Relationship Id="rId12" Type="http://schemas.openxmlformats.org/officeDocument/2006/relationships/hyperlink" Target="file:///h:\sj\20210324.docx" TargetMode="External"/><Relationship Id="rId17" Type="http://schemas.openxmlformats.org/officeDocument/2006/relationships/hyperlink" Target="file:///h:\hj\20210511.docx" TargetMode="External"/><Relationship Id="rId25" Type="http://schemas.openxmlformats.org/officeDocument/2006/relationships/hyperlink" Target="file:///p:\pprever\2021-22\627_20210317.doc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h:\hj\20210506.docx" TargetMode="External"/><Relationship Id="rId20" Type="http://schemas.openxmlformats.org/officeDocument/2006/relationships/hyperlink" Target="file:///h:\hj\20210511.docx" TargetMode="External"/><Relationship Id="rId29" Type="http://schemas.openxmlformats.org/officeDocument/2006/relationships/hyperlink" Target="file:///p:\pprever\2021-22\627_20210512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210302.docx" TargetMode="External"/><Relationship Id="rId11" Type="http://schemas.openxmlformats.org/officeDocument/2006/relationships/hyperlink" Target="file:///h:\sj\20210323.docx" TargetMode="External"/><Relationship Id="rId24" Type="http://schemas.openxmlformats.org/officeDocument/2006/relationships/hyperlink" Target="file:///p:\pprever\2021-22\627_20210302.docx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h:\hj\20210504.docx" TargetMode="External"/><Relationship Id="rId23" Type="http://schemas.openxmlformats.org/officeDocument/2006/relationships/hyperlink" Target="http://www.scstatehouse.gov/billsearch.php?billnumbers=627&amp;session=124&amp;summary=B" TargetMode="External"/><Relationship Id="rId28" Type="http://schemas.openxmlformats.org/officeDocument/2006/relationships/hyperlink" Target="file:///p:\pprever\2021-22\627_20210511.docx" TargetMode="External"/><Relationship Id="rId10" Type="http://schemas.openxmlformats.org/officeDocument/2006/relationships/hyperlink" Target="file:///h:\sj\20210323.docx" TargetMode="External"/><Relationship Id="rId19" Type="http://schemas.openxmlformats.org/officeDocument/2006/relationships/hyperlink" Target="file:///h:\hj\20210511.docx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file:///h:\sj\20210323.docx" TargetMode="External"/><Relationship Id="rId14" Type="http://schemas.openxmlformats.org/officeDocument/2006/relationships/hyperlink" Target="file:///h:\hj\20210406.docx" TargetMode="External"/><Relationship Id="rId22" Type="http://schemas.openxmlformats.org/officeDocument/2006/relationships/hyperlink" Target="file:///h:\sj\20210512.docx" TargetMode="External"/><Relationship Id="rId27" Type="http://schemas.openxmlformats.org/officeDocument/2006/relationships/hyperlink" Target="file:///p:\pprever\2021-22\627_20210504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6349</Characters>
  <Application>Microsoft Office Word</Application>
  <DocSecurity>0</DocSecurity>
  <Lines>158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627: Pass through trade and business income - South Carolina Legislature Online</dc:title>
  <dc:subject/>
  <dc:creator>Rebecca Turner</dc:creator>
  <cp:keywords/>
  <dc:description/>
  <cp:lastModifiedBy>Danny Crook</cp:lastModifiedBy>
  <cp:revision>2</cp:revision>
  <cp:lastPrinted>2009-02-19T22:23:00Z</cp:lastPrinted>
  <dcterms:created xsi:type="dcterms:W3CDTF">2021-06-14T13:12:00Z</dcterms:created>
  <dcterms:modified xsi:type="dcterms:W3CDTF">2021-06-14T13:12:00Z</dcterms:modified>
</cp:coreProperties>
</file>