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606F">
        <w:rPr>
          <w:rFonts w:cs="Times New Roman"/>
          <w:b/>
        </w:rPr>
        <w:t>South Carolina General Assembly</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606F">
        <w:rPr>
          <w:rFonts w:cs="Times New Roman"/>
        </w:rPr>
        <w:t>124th Session, 2021-2022</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6F" w:rsidRPr="007A606F" w:rsidRDefault="006E7E07"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A62, R76, S658</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6F">
        <w:rPr>
          <w:rFonts w:cs="Times New Roman"/>
          <w:b/>
        </w:rPr>
        <w:t>STATUS INFORMATION</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6F">
        <w:rPr>
          <w:rFonts w:cs="Times New Roman"/>
        </w:rPr>
        <w:t>General Bill</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6F">
        <w:rPr>
          <w:rFonts w:cs="Times New Roman"/>
        </w:rPr>
        <w:t>Sponsors: Senator Bennett</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6F">
        <w:rPr>
          <w:rFonts w:cs="Times New Roman"/>
        </w:rPr>
        <w:t>Document Path: l:\s-res\sb\004peba.kmm.sb.docx</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656" w:rsidRDefault="00AC4656"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11, 2021</w:t>
      </w:r>
    </w:p>
    <w:p w:rsidR="00AC4656" w:rsidRDefault="00AC4656"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2021</w:t>
      </w:r>
    </w:p>
    <w:p w:rsidR="00AC4656" w:rsidRDefault="00AC4656"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2021</w:t>
      </w:r>
    </w:p>
    <w:p w:rsidR="00AC4656" w:rsidRDefault="00AC4656"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AC4656" w:rsidRDefault="00AC4656"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6F">
        <w:rPr>
          <w:rFonts w:cs="Times New Roman"/>
        </w:rPr>
        <w:t>Summary: Retirement systems secondary beneficiaries</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6F" w:rsidRPr="007A606F" w:rsidRDefault="007A606F" w:rsidP="007A606F">
      <w:pPr>
        <w:widowControl w:val="0"/>
        <w:tabs>
          <w:tab w:val="center" w:pos="590"/>
          <w:tab w:val="center" w:pos="1440"/>
          <w:tab w:val="left" w:pos="1872"/>
          <w:tab w:val="left" w:pos="9187"/>
        </w:tabs>
        <w:rPr>
          <w:rFonts w:cs="Times New Roman"/>
        </w:rPr>
      </w:pPr>
      <w:r w:rsidRPr="007A606F">
        <w:rPr>
          <w:rFonts w:cs="Times New Roman"/>
          <w:b/>
        </w:rPr>
        <w:t>HISTORY OF LEGISLATIVE ACTIONS</w:t>
      </w:r>
    </w:p>
    <w:p w:rsidR="007A606F" w:rsidRPr="007A606F" w:rsidRDefault="007A606F" w:rsidP="007A606F">
      <w:pPr>
        <w:widowControl w:val="0"/>
        <w:tabs>
          <w:tab w:val="center" w:pos="590"/>
          <w:tab w:val="center" w:pos="1440"/>
          <w:tab w:val="left" w:pos="1872"/>
          <w:tab w:val="left" w:pos="9187"/>
        </w:tabs>
        <w:rPr>
          <w:rFonts w:cs="Times New Roman"/>
        </w:rPr>
      </w:pPr>
    </w:p>
    <w:p w:rsidR="007A606F" w:rsidRPr="007A606F" w:rsidRDefault="007A606F" w:rsidP="007A606F">
      <w:pPr>
        <w:widowControl w:val="0"/>
        <w:tabs>
          <w:tab w:val="center" w:pos="590"/>
          <w:tab w:val="center" w:pos="1440"/>
          <w:tab w:val="left" w:pos="1872"/>
          <w:tab w:val="left" w:pos="9187"/>
        </w:tabs>
        <w:rPr>
          <w:rFonts w:cs="Times New Roman"/>
        </w:rPr>
      </w:pPr>
      <w:r w:rsidRPr="007A606F">
        <w:rPr>
          <w:rFonts w:cs="Times New Roman"/>
          <w:u w:val="single"/>
        </w:rPr>
        <w:tab/>
        <w:t>Date</w:t>
      </w:r>
      <w:r w:rsidRPr="007A606F">
        <w:rPr>
          <w:rFonts w:cs="Times New Roman"/>
          <w:u w:val="single"/>
        </w:rPr>
        <w:tab/>
        <w:t>Body</w:t>
      </w:r>
      <w:r w:rsidRPr="007A606F">
        <w:rPr>
          <w:rFonts w:cs="Times New Roman"/>
          <w:u w:val="single"/>
        </w:rPr>
        <w:tab/>
        <w:t>Action Description with journal page number</w:t>
      </w:r>
      <w:r w:rsidRPr="007A606F">
        <w:rPr>
          <w:rFonts w:cs="Times New Roman"/>
          <w:u w:val="single"/>
        </w:rPr>
        <w:tab/>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Senate</w:t>
      </w:r>
      <w:r>
        <w:rPr>
          <w:rFonts w:cs="Times New Roman"/>
        </w:rPr>
        <w:tab/>
        <w:t>Introduced and read first time (</w:t>
      </w:r>
      <w:hyperlink r:id="rId6" w:history="1">
        <w:r w:rsidRPr="00C463EE">
          <w:rPr>
            <w:rStyle w:val="Hyperlink"/>
            <w:rFonts w:cs="Times New Roman"/>
          </w:rPr>
          <w:t>Senate Journal</w:t>
        </w:r>
        <w:r w:rsidRPr="00C463EE">
          <w:rPr>
            <w:rStyle w:val="Hyperlink"/>
            <w:rFonts w:cs="Times New Roman"/>
          </w:rPr>
          <w:noBreakHyphen/>
          <w:t>page 3</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Senate</w:t>
      </w:r>
      <w:r>
        <w:rPr>
          <w:rFonts w:cs="Times New Roman"/>
        </w:rPr>
        <w:tab/>
        <w:t xml:space="preserve">Referred to Committee on </w:t>
      </w:r>
      <w:r w:rsidRPr="00C463EE">
        <w:rPr>
          <w:rFonts w:cs="Times New Roman"/>
          <w:b/>
        </w:rPr>
        <w:t>Finance</w:t>
      </w:r>
      <w:r>
        <w:rPr>
          <w:rFonts w:cs="Times New Roman"/>
        </w:rPr>
        <w:t xml:space="preserve"> (</w:t>
      </w:r>
      <w:hyperlink r:id="rId7" w:history="1">
        <w:r w:rsidRPr="00C463EE">
          <w:rPr>
            <w:rStyle w:val="Hyperlink"/>
            <w:rFonts w:cs="Times New Roman"/>
          </w:rPr>
          <w:t>Senate Journal</w:t>
        </w:r>
        <w:r w:rsidRPr="00C463EE">
          <w:rPr>
            <w:rStyle w:val="Hyperlink"/>
            <w:rFonts w:cs="Times New Roman"/>
          </w:rPr>
          <w:noBreakHyphen/>
          <w:t>page 3</w:t>
        </w:r>
      </w:hyperlink>
      <w:bookmarkStart w:id="0" w:name="_GoBack"/>
      <w:bookmarkEnd w:id="0"/>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t>
      </w:r>
      <w:r w:rsidRPr="00C463EE">
        <w:rPr>
          <w:rFonts w:cs="Times New Roman"/>
          <w:b/>
        </w:rPr>
        <w:t>Finance</w:t>
      </w:r>
      <w:r>
        <w:rPr>
          <w:rFonts w:cs="Times New Roman"/>
        </w:rPr>
        <w:t xml:space="preserve"> (</w:t>
      </w:r>
      <w:hyperlink r:id="rId8" w:history="1">
        <w:r w:rsidRPr="00C463EE">
          <w:rPr>
            <w:rStyle w:val="Hyperlink"/>
            <w:rFonts w:cs="Times New Roman"/>
          </w:rPr>
          <w:t>Senate Journal</w:t>
        </w:r>
        <w:r w:rsidRPr="00C463EE">
          <w:rPr>
            <w:rStyle w:val="Hyperlink"/>
            <w:rFonts w:cs="Times New Roman"/>
          </w:rPr>
          <w:noBreakHyphen/>
          <w:t>page 11</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4/1/2021</w:t>
      </w:r>
      <w:r>
        <w:rPr>
          <w:rFonts w:cs="Times New Roman"/>
        </w:rPr>
        <w:tab/>
      </w:r>
      <w:r>
        <w:rPr>
          <w:rFonts w:cs="Times New Roman"/>
        </w:rPr>
        <w:tab/>
        <w:t>Scrivener's error corrected</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9" w:history="1">
        <w:r w:rsidRPr="00C463EE">
          <w:rPr>
            <w:rStyle w:val="Hyperlink"/>
            <w:rFonts w:cs="Times New Roman"/>
          </w:rPr>
          <w:t>Senate Journal</w:t>
        </w:r>
        <w:r w:rsidRPr="00C463EE">
          <w:rPr>
            <w:rStyle w:val="Hyperlink"/>
            <w:rFonts w:cs="Times New Roman"/>
          </w:rPr>
          <w:noBreakHyphen/>
          <w:t>page 57</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C463EE">
          <w:rPr>
            <w:rStyle w:val="Hyperlink"/>
            <w:rFonts w:cs="Times New Roman"/>
          </w:rPr>
          <w:t>Senate Journal</w:t>
        </w:r>
        <w:r w:rsidRPr="00C463EE">
          <w:rPr>
            <w:rStyle w:val="Hyperlink"/>
            <w:rFonts w:cs="Times New Roman"/>
          </w:rPr>
          <w:noBreakHyphen/>
          <w:t>page 57</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1" w:history="1">
        <w:r w:rsidRPr="00C463EE">
          <w:rPr>
            <w:rStyle w:val="Hyperlink"/>
            <w:rFonts w:cs="Times New Roman"/>
          </w:rPr>
          <w:t>Senate Journal</w:t>
        </w:r>
        <w:r w:rsidRPr="00C463EE">
          <w:rPr>
            <w:rStyle w:val="Hyperlink"/>
            <w:rFonts w:cs="Times New Roman"/>
          </w:rPr>
          <w:noBreakHyphen/>
          <w:t>page 41</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2" w:history="1">
        <w:r w:rsidRPr="00C463EE">
          <w:rPr>
            <w:rStyle w:val="Hyperlink"/>
            <w:rFonts w:cs="Times New Roman"/>
          </w:rPr>
          <w:t>House Journal</w:t>
        </w:r>
        <w:r w:rsidRPr="00C463EE">
          <w:rPr>
            <w:rStyle w:val="Hyperlink"/>
            <w:rFonts w:cs="Times New Roman"/>
          </w:rPr>
          <w:noBreakHyphen/>
          <w:t>page 11</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C463EE">
        <w:rPr>
          <w:rFonts w:cs="Times New Roman"/>
          <w:b/>
        </w:rPr>
        <w:t>Ways and Means</w:t>
      </w:r>
      <w:r>
        <w:rPr>
          <w:rFonts w:cs="Times New Roman"/>
        </w:rPr>
        <w:t xml:space="preserve"> (</w:t>
      </w:r>
      <w:hyperlink r:id="rId13" w:history="1">
        <w:r w:rsidRPr="00C463EE">
          <w:rPr>
            <w:rStyle w:val="Hyperlink"/>
            <w:rFonts w:cs="Times New Roman"/>
          </w:rPr>
          <w:t>House Journal</w:t>
        </w:r>
        <w:r w:rsidRPr="00C463EE">
          <w:rPr>
            <w:rStyle w:val="Hyperlink"/>
            <w:rFonts w:cs="Times New Roman"/>
          </w:rPr>
          <w:noBreakHyphen/>
          <w:t>page 11</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t>
      </w:r>
      <w:r w:rsidRPr="00C463EE">
        <w:rPr>
          <w:rFonts w:cs="Times New Roman"/>
          <w:b/>
        </w:rPr>
        <w:t>Ways and Means</w:t>
      </w:r>
      <w:r>
        <w:rPr>
          <w:rFonts w:cs="Times New Roman"/>
        </w:rPr>
        <w:t xml:space="preserve"> (</w:t>
      </w:r>
      <w:hyperlink r:id="rId14" w:history="1">
        <w:r w:rsidRPr="00C463EE">
          <w:rPr>
            <w:rStyle w:val="Hyperlink"/>
            <w:rFonts w:cs="Times New Roman"/>
          </w:rPr>
          <w:t>House Journal</w:t>
        </w:r>
        <w:r w:rsidRPr="00C463EE">
          <w:rPr>
            <w:rStyle w:val="Hyperlink"/>
            <w:rFonts w:cs="Times New Roman"/>
          </w:rPr>
          <w:noBreakHyphen/>
          <w:t>page 76</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Debate adjourned until  Tues., 5</w:t>
      </w:r>
      <w:r>
        <w:rPr>
          <w:rFonts w:cs="Times New Roman"/>
        </w:rPr>
        <w:noBreakHyphen/>
        <w:t>11</w:t>
      </w:r>
      <w:r>
        <w:rPr>
          <w:rFonts w:cs="Times New Roman"/>
        </w:rPr>
        <w:noBreakHyphen/>
        <w:t>21 (</w:t>
      </w:r>
      <w:hyperlink r:id="rId15" w:history="1">
        <w:r w:rsidRPr="00C463EE">
          <w:rPr>
            <w:rStyle w:val="Hyperlink"/>
            <w:rFonts w:cs="Times New Roman"/>
          </w:rPr>
          <w:t>House Journal</w:t>
        </w:r>
        <w:r w:rsidRPr="00C463EE">
          <w:rPr>
            <w:rStyle w:val="Hyperlink"/>
            <w:rFonts w:cs="Times New Roman"/>
          </w:rPr>
          <w:noBreakHyphen/>
          <w:t>page 19</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Requests for debate</w:t>
      </w:r>
      <w:r>
        <w:rPr>
          <w:rFonts w:cs="Times New Roman"/>
        </w:rPr>
        <w:noBreakHyphen/>
        <w:t>Rep(s).  King, Gilliard, Ott, Pendarvis, Brawley, Wetmore (</w:t>
      </w:r>
      <w:hyperlink r:id="rId16" w:history="1">
        <w:r w:rsidRPr="00C463EE">
          <w:rPr>
            <w:rStyle w:val="Hyperlink"/>
            <w:rFonts w:cs="Times New Roman"/>
          </w:rPr>
          <w:t>House Journal</w:t>
        </w:r>
        <w:r w:rsidRPr="00C463EE">
          <w:rPr>
            <w:rStyle w:val="Hyperlink"/>
            <w:rFonts w:cs="Times New Roman"/>
          </w:rPr>
          <w:noBreakHyphen/>
          <w:t>page 21</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Read second time (</w:t>
      </w:r>
      <w:hyperlink r:id="rId17" w:history="1">
        <w:r w:rsidRPr="00C463EE">
          <w:rPr>
            <w:rStyle w:val="Hyperlink"/>
            <w:rFonts w:cs="Times New Roman"/>
          </w:rPr>
          <w:t>House Journal</w:t>
        </w:r>
        <w:r w:rsidRPr="00C463EE">
          <w:rPr>
            <w:rStyle w:val="Hyperlink"/>
            <w:rFonts w:cs="Times New Roman"/>
          </w:rPr>
          <w:noBreakHyphen/>
          <w:t>page 70</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Roll call Yeas</w:t>
      </w:r>
      <w:r>
        <w:rPr>
          <w:rFonts w:cs="Times New Roman"/>
        </w:rPr>
        <w:noBreakHyphen/>
        <w:t>97  Nays</w:t>
      </w:r>
      <w:r>
        <w:rPr>
          <w:rFonts w:cs="Times New Roman"/>
        </w:rPr>
        <w:noBreakHyphen/>
        <w:t>9 (</w:t>
      </w:r>
      <w:hyperlink r:id="rId18" w:history="1">
        <w:r w:rsidRPr="00C463EE">
          <w:rPr>
            <w:rStyle w:val="Hyperlink"/>
            <w:rFonts w:cs="Times New Roman"/>
          </w:rPr>
          <w:t>House Journal</w:t>
        </w:r>
        <w:r w:rsidRPr="00C463EE">
          <w:rPr>
            <w:rStyle w:val="Hyperlink"/>
            <w:rFonts w:cs="Times New Roman"/>
          </w:rPr>
          <w:noBreakHyphen/>
          <w:t>page 73</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third time and enrolled (</w:t>
      </w:r>
      <w:hyperlink r:id="rId19" w:history="1">
        <w:r w:rsidRPr="00C463EE">
          <w:rPr>
            <w:rStyle w:val="Hyperlink"/>
            <w:rFonts w:cs="Times New Roman"/>
          </w:rPr>
          <w:t>House Journal</w:t>
        </w:r>
        <w:r w:rsidRPr="00C463EE">
          <w:rPr>
            <w:rStyle w:val="Hyperlink"/>
            <w:rFonts w:cs="Times New Roman"/>
          </w:rPr>
          <w:noBreakHyphen/>
          <w:t>page 41</w:t>
        </w:r>
      </w:hyperlink>
      <w:r>
        <w:rPr>
          <w:rFonts w:cs="Times New Roman"/>
        </w:rPr>
        <w:t>)</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76</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See Act for Effective Date</w:t>
      </w:r>
    </w:p>
    <w:p w:rsidR="006E7E07" w:rsidRDefault="006E7E07" w:rsidP="006E7E07">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62</w:t>
      </w:r>
    </w:p>
    <w:p w:rsidR="006E7E07" w:rsidRDefault="006E7E07" w:rsidP="006E7E07">
      <w:pPr>
        <w:widowControl w:val="0"/>
        <w:tabs>
          <w:tab w:val="right" w:pos="1008"/>
          <w:tab w:val="left" w:pos="1152"/>
          <w:tab w:val="left" w:pos="1872"/>
          <w:tab w:val="left" w:pos="9187"/>
        </w:tabs>
        <w:ind w:left="2088" w:hanging="2088"/>
        <w:rPr>
          <w:rFonts w:cs="Times New Roman"/>
        </w:rPr>
      </w:pPr>
    </w:p>
    <w:p w:rsidR="007A606F" w:rsidRPr="007A606F" w:rsidRDefault="007A606F" w:rsidP="007A606F">
      <w:pPr>
        <w:widowControl w:val="0"/>
        <w:tabs>
          <w:tab w:val="right" w:pos="1008"/>
          <w:tab w:val="left" w:pos="1152"/>
          <w:tab w:val="left" w:pos="1872"/>
          <w:tab w:val="left" w:pos="9187"/>
        </w:tabs>
        <w:ind w:left="2088" w:hanging="2088"/>
        <w:rPr>
          <w:rFonts w:cs="Times New Roman"/>
        </w:rPr>
      </w:pPr>
      <w:r w:rsidRPr="007A606F">
        <w:rPr>
          <w:rFonts w:cs="Times New Roman"/>
        </w:rPr>
        <w:t xml:space="preserve">View the latest </w:t>
      </w:r>
      <w:hyperlink r:id="rId20" w:history="1">
        <w:r w:rsidRPr="007A606F">
          <w:rPr>
            <w:rFonts w:cs="Times New Roman"/>
            <w:color w:val="0000FF" w:themeColor="hyperlink"/>
            <w:u w:val="single"/>
          </w:rPr>
          <w:t>legislative information</w:t>
        </w:r>
      </w:hyperlink>
      <w:r w:rsidRPr="007A606F">
        <w:rPr>
          <w:rFonts w:cs="Times New Roman"/>
        </w:rPr>
        <w:t xml:space="preserve"> at the website</w:t>
      </w:r>
    </w:p>
    <w:p w:rsidR="007A606F" w:rsidRPr="007A606F" w:rsidRDefault="007A606F" w:rsidP="007A606F">
      <w:pPr>
        <w:widowControl w:val="0"/>
        <w:tabs>
          <w:tab w:val="right" w:pos="1008"/>
          <w:tab w:val="left" w:pos="1152"/>
          <w:tab w:val="left" w:pos="1872"/>
          <w:tab w:val="left" w:pos="9187"/>
        </w:tabs>
        <w:ind w:left="2088" w:hanging="2088"/>
        <w:rPr>
          <w:rFonts w:cs="Times New Roman"/>
        </w:rPr>
      </w:pPr>
    </w:p>
    <w:p w:rsidR="007A606F" w:rsidRPr="007A606F" w:rsidRDefault="007A606F" w:rsidP="007A606F">
      <w:pPr>
        <w:widowControl w:val="0"/>
        <w:tabs>
          <w:tab w:val="right" w:pos="1008"/>
          <w:tab w:val="left" w:pos="1152"/>
          <w:tab w:val="left" w:pos="1872"/>
          <w:tab w:val="left" w:pos="9187"/>
        </w:tabs>
        <w:ind w:left="2088" w:hanging="2088"/>
        <w:rPr>
          <w:rFonts w:cs="Times New Roman"/>
        </w:rPr>
      </w:pP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606F">
        <w:rPr>
          <w:rFonts w:cs="Times New Roman"/>
          <w:b/>
        </w:rPr>
        <w:t>VERSIONS OF THIS BILL</w:t>
      </w:r>
    </w:p>
    <w:p w:rsidR="007A606F" w:rsidRPr="007A606F" w:rsidRDefault="007A606F"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6F" w:rsidRPr="007A606F" w:rsidRDefault="00DB513E" w:rsidP="007A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A606F" w:rsidRPr="007A606F">
          <w:rPr>
            <w:rFonts w:cs="Times New Roman"/>
            <w:color w:val="0000FF" w:themeColor="hyperlink"/>
            <w:u w:val="single"/>
          </w:rPr>
          <w:t>3/11/2021</w:t>
        </w:r>
      </w:hyperlink>
    </w:p>
    <w:p w:rsidR="007A606F" w:rsidRPr="007A606F" w:rsidRDefault="00DB513E" w:rsidP="007A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A606F" w:rsidRPr="007A606F">
          <w:rPr>
            <w:rFonts w:cs="Times New Roman"/>
            <w:color w:val="0000FF" w:themeColor="hyperlink"/>
            <w:u w:val="single"/>
          </w:rPr>
          <w:t>3/31/2021</w:t>
        </w:r>
      </w:hyperlink>
    </w:p>
    <w:p w:rsidR="007A606F" w:rsidRPr="007A606F" w:rsidRDefault="00DB513E" w:rsidP="007A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A606F" w:rsidRPr="007A606F">
          <w:rPr>
            <w:rFonts w:cs="Times New Roman"/>
            <w:color w:val="0000FF" w:themeColor="hyperlink"/>
            <w:u w:val="single"/>
          </w:rPr>
          <w:t>4/1/2021</w:t>
        </w:r>
      </w:hyperlink>
    </w:p>
    <w:p w:rsidR="007A606F" w:rsidRPr="007A606F" w:rsidRDefault="00DB513E" w:rsidP="007A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A606F" w:rsidRPr="007A606F">
          <w:rPr>
            <w:rFonts w:cs="Times New Roman"/>
            <w:color w:val="0000FF" w:themeColor="hyperlink"/>
            <w:u w:val="single"/>
          </w:rPr>
          <w:t>5/4/2021</w:t>
        </w:r>
      </w:hyperlink>
    </w:p>
    <w:p w:rsidR="007A606F" w:rsidRPr="007A606F" w:rsidRDefault="007A606F" w:rsidP="007A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06F" w:rsidRDefault="007A606F" w:rsidP="007A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A606F" w:rsidSect="007A606F">
          <w:pgSz w:w="12240" w:h="15840" w:code="1"/>
          <w:pgMar w:top="1080" w:right="1440" w:bottom="1080" w:left="1440" w:header="720" w:footer="720" w:gutter="0"/>
          <w:pgNumType w:start="1"/>
          <w:cols w:space="720"/>
          <w:noEndnote/>
          <w:docGrid w:linePitch="360"/>
        </w:sectPr>
      </w:pP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(A62, R76, S658)</w:t>
      </w:r>
    </w:p>
    <w:p w:rsidR="000A0351" w:rsidRPr="008836A5"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0351" w:rsidRPr="007A606F"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A606F">
        <w:rPr>
          <w:rFonts w:cs="Times New Roman"/>
          <w:b/>
          <w:color w:val="000000" w:themeColor="text1"/>
          <w:szCs w:val="36"/>
        </w:rPr>
        <w:t xml:space="preserve">AN ACT </w:t>
      </w:r>
      <w:r w:rsidRPr="007A606F">
        <w:rPr>
          <w:rFonts w:cs="Times New Roman"/>
          <w:b/>
          <w:color w:val="000000" w:themeColor="text1"/>
          <w:u w:color="000000" w:themeColor="text1"/>
        </w:rPr>
        <w:t>TO AMEND SECTION 1</w:t>
      </w:r>
      <w:r w:rsidRPr="007A606F">
        <w:rPr>
          <w:rFonts w:cs="Times New Roman"/>
          <w:b/>
          <w:color w:val="000000" w:themeColor="text1"/>
          <w:u w:color="000000" w:themeColor="text1"/>
        </w:rPr>
        <w:noBreakHyphen/>
        <w:t>11</w:t>
      </w:r>
      <w:r w:rsidRPr="007A606F">
        <w:rPr>
          <w:rFonts w:cs="Times New Roman"/>
          <w:b/>
          <w:color w:val="000000" w:themeColor="text1"/>
          <w:u w:color="000000" w:themeColor="text1"/>
        </w:rPr>
        <w:noBreakHyphen/>
        <w:t>710, CODE OF LAWS OF SOUTH CAROLINA, 1976, RELATING TO THE BOARD OF DIRECTORS OF THE SOUTH CAROLINA PUBLIC EMPLOYEE BENEFIT AUTHORITY MAKING INSURANCE AVAILABLE TO ACTIVE AND RETIRED EMPLOYEES, SO AS TO PROVIDE THAT THE PUBLIC EMPLOYEE BENEFIT AUTHORITY MAY ESTABLISH RULES FOR ELIGIBILITY AND ENROLLMENT FOR FULLY INSURED INSURANCE PRODUCTS FOR WHICH IT IS THE PLAN SPONSOR AND TO PROVIDE THAT MEDICAL EVIDENCE OF INSURABILITY SHALL NOT BE REQUIRED SOONER THAN THIRTY DAYS FROM THE DATE A PERSON IS FIRST ELIGIBLE TO ENROLL IN A FULLY INSURED INSURANCE PRODUCT; TO AMEND SECTION 9</w:t>
      </w:r>
      <w:r w:rsidRPr="007A606F">
        <w:rPr>
          <w:rFonts w:cs="Times New Roman"/>
          <w:b/>
          <w:color w:val="000000" w:themeColor="text1"/>
          <w:u w:color="000000" w:themeColor="text1"/>
        </w:rPr>
        <w:noBreakHyphen/>
        <w:t>1</w:t>
      </w:r>
      <w:r w:rsidRPr="007A606F">
        <w:rPr>
          <w:rFonts w:cs="Times New Roman"/>
          <w:b/>
          <w:color w:val="000000" w:themeColor="text1"/>
          <w:u w:color="000000" w:themeColor="text1"/>
        </w:rPr>
        <w:noBreakHyphen/>
        <w:t>1650, AS AMENDED, RELATING TO AMOUNTS PAID UPON THE TERMINATION OF EMPLOYMENT UNDER THE SOUTH CAROLINA RETIREMENT SYSTEM, SO AS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w:t>
      </w:r>
      <w:r w:rsidRPr="007A606F">
        <w:rPr>
          <w:rFonts w:cs="Times New Roman"/>
          <w:b/>
          <w:color w:val="000000" w:themeColor="text1"/>
          <w:u w:color="000000" w:themeColor="text1"/>
        </w:rPr>
        <w:noBreakHyphen/>
        <w:t>8</w:t>
      </w:r>
      <w:r w:rsidRPr="007A606F">
        <w:rPr>
          <w:rFonts w:cs="Times New Roman"/>
          <w:b/>
          <w:color w:val="000000" w:themeColor="text1"/>
          <w:u w:color="000000" w:themeColor="text1"/>
        </w:rPr>
        <w:noBreakHyphen/>
        <w:t>110, RELATING TO PAYMENTS ON THE DEATH OF A MEMBER OR BENEFICIARY UNDER THE RETIREMENT SYSTEM FOR JUDGES AND SOLICITORS, SO AS TO PROVIDE THAT A MEMBER WHO IS NOT RETIRED MAY NAME SECONDARY BENEFICIARIES IN THE SAME MANNER AS PRIMARY BENEFICIARIES, TO PROVIDE THAT A SECONDARY BENEFICIARY DOES NOT HAVE CERTAIN RIGHTS UNLESS ALL PRIMARY BENEFICIARIES HAVE PREDECEASED THE MEMBER AND THE MEMBER’S DEATH OCCURS BEFORE RETIREMENT, AND TO PROVIDE THAT A MEMBER MAY NOT NAME A SECONDARY BENEFICIARY FOR DEATH BENEFITS UNDER A PRERETIREMENT DEATH BENEFIT PROGRAM; TO AMEND SECTION 9</w:t>
      </w:r>
      <w:r w:rsidRPr="007A606F">
        <w:rPr>
          <w:rFonts w:cs="Times New Roman"/>
          <w:b/>
          <w:color w:val="000000" w:themeColor="text1"/>
          <w:u w:color="000000" w:themeColor="text1"/>
        </w:rPr>
        <w:noBreakHyphen/>
        <w:t>9</w:t>
      </w:r>
      <w:r w:rsidRPr="007A606F">
        <w:rPr>
          <w:rFonts w:cs="Times New Roman"/>
          <w:b/>
          <w:color w:val="000000" w:themeColor="text1"/>
          <w:u w:color="000000" w:themeColor="text1"/>
        </w:rPr>
        <w:noBreakHyphen/>
        <w:t xml:space="preserve">100, AS AMENDED, RELATING TO PAYMENTS ON THE DEATH OF A MEMBER </w:t>
      </w:r>
      <w:r w:rsidRPr="007A606F">
        <w:rPr>
          <w:rFonts w:cs="Times New Roman"/>
          <w:b/>
          <w:color w:val="000000" w:themeColor="text1"/>
          <w:u w:color="000000" w:themeColor="text1"/>
        </w:rPr>
        <w:lastRenderedPageBreak/>
        <w:t>OR BENEFICIARY UNDER THE RETIREMENT SYSTEM FOR MEMBERS OF THE GENERAL ASSEMBLY, SO AS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TO AMEND SECTION 9</w:t>
      </w:r>
      <w:r w:rsidRPr="007A606F">
        <w:rPr>
          <w:rFonts w:cs="Times New Roman"/>
          <w:b/>
          <w:color w:val="000000" w:themeColor="text1"/>
          <w:u w:color="000000" w:themeColor="text1"/>
        </w:rPr>
        <w:noBreakHyphen/>
        <w:t>11</w:t>
      </w:r>
      <w:r w:rsidRPr="007A606F">
        <w:rPr>
          <w:rFonts w:cs="Times New Roman"/>
          <w:b/>
          <w:color w:val="000000" w:themeColor="text1"/>
          <w:u w:color="000000" w:themeColor="text1"/>
        </w:rPr>
        <w:noBreakHyphen/>
        <w:t>110, AS AMENDED, RELATING TO THE LUMP SUM PAID IN THE EVENT OF A DEATH UNDER THE POLICE OFFICERS RETIREMENT SYSTEM, SO AS TO PROVIDE THAT A MEMBER WHO IS NOT RETIRED MAY NAME CONTINGENT BENEFICIARIES IN THE SAME MANNER AS PRIMARY BENEFICIARIES, TO PROVIDE THAT A CONTINGENT BENEFICIARY DOES NOT HAVE CERTAIN RIGHTS UNLESS ALL PRIMARY BENEFICIARIES HAVE PREDECEASED THE MEMBER AND THE MEMBER’S DEATH OCCURS BEFORE RETIREMENT, AND TO PROVIDE THAT A MEMBER MAY NOT NAME A CONTINGENT BENEFICIARY FOR DEATH BENEFITS UNDER A PRERETIREMENT DEATH BENEFIT PROGRAM; AND TO REPEAL CHAPTER 2, TITLE 9 RELATING TO THE RETIREMENT AND PRERETIREMENT ADVISORY PANEL.</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0121B">
        <w:rPr>
          <w:rFonts w:eastAsia="Times New Roman" w:cs="Times New Roman"/>
        </w:rPr>
        <w:t>Be it enacted by the General Assembly of the State of South Carolina:</w:t>
      </w: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A0351" w:rsidRPr="00E33D55"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PEBA duties</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0121B">
        <w:rPr>
          <w:rFonts w:eastAsia="Times New Roman" w:cs="Times New Roman"/>
        </w:rPr>
        <w:t>SECTION</w:t>
      </w:r>
      <w:r w:rsidRPr="0020121B">
        <w:rPr>
          <w:rFonts w:eastAsia="Times New Roman" w:cs="Times New Roman"/>
        </w:rPr>
        <w:tab/>
        <w:t>1.</w:t>
      </w:r>
      <w:r w:rsidRPr="0020121B">
        <w:rPr>
          <w:rFonts w:eastAsia="Times New Roman" w:cs="Times New Roman"/>
        </w:rPr>
        <w:tab/>
      </w:r>
      <w:r w:rsidRPr="0020121B">
        <w:rPr>
          <w:rFonts w:cs="Times New Roman"/>
          <w:color w:val="000000" w:themeColor="text1"/>
          <w:szCs w:val="24"/>
          <w:u w:color="000000" w:themeColor="text1"/>
        </w:rPr>
        <w:t>Section 1</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11</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710 of the 1976 Code is amended by adding an appropriately lettered subsection to read:</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Pr="0020121B"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20121B">
        <w:rPr>
          <w:color w:val="000000" w:themeColor="text1"/>
          <w:sz w:val="22"/>
          <w:u w:color="000000" w:themeColor="text1"/>
        </w:rPr>
        <w:tab/>
        <w:t>“(</w:t>
      </w:r>
      <w:r w:rsidRPr="0020121B">
        <w:rPr>
          <w:color w:val="000000" w:themeColor="text1"/>
          <w:sz w:val="22"/>
          <w:u w:color="000000" w:themeColor="text1"/>
        </w:rPr>
        <w:tab/>
        <w:t>)</w:t>
      </w:r>
      <w:r w:rsidRPr="0020121B">
        <w:rPr>
          <w:color w:val="000000" w:themeColor="text1"/>
          <w:sz w:val="22"/>
          <w:u w:color="000000" w:themeColor="text1"/>
        </w:rPr>
        <w:tab/>
        <w:t>Notwithstanding the provisions of Section 38</w:t>
      </w:r>
      <w:r>
        <w:rPr>
          <w:color w:val="000000" w:themeColor="text1"/>
          <w:sz w:val="22"/>
          <w:u w:color="000000" w:themeColor="text1"/>
        </w:rPr>
        <w:noBreakHyphen/>
      </w:r>
      <w:r w:rsidRPr="0020121B">
        <w:rPr>
          <w:color w:val="000000" w:themeColor="text1"/>
          <w:sz w:val="22"/>
          <w:u w:color="000000" w:themeColor="text1"/>
        </w:rPr>
        <w:t>71</w:t>
      </w:r>
      <w:r>
        <w:rPr>
          <w:color w:val="000000" w:themeColor="text1"/>
          <w:sz w:val="22"/>
          <w:u w:color="000000" w:themeColor="text1"/>
        </w:rPr>
        <w:noBreakHyphen/>
      </w:r>
      <w:r w:rsidRPr="0020121B">
        <w:rPr>
          <w:color w:val="000000" w:themeColor="text1"/>
          <w:sz w:val="22"/>
          <w:u w:color="000000" w:themeColor="text1"/>
        </w:rPr>
        <w:t>730(3), for all fully insured insurance products where the South Carolina Public Employee Benefit Authority (PEBA) is the plan sponsor, PEBA may establish rules for eligibility and enrollment, including the timeframes for submitting enrollment elections and required supporting documentation. In no event may medical evidence of insurability be required sooner than thirty days from the date a person is first eligible to enroll in a fully insured insurance product.”</w:t>
      </w:r>
    </w:p>
    <w:p w:rsidR="000A0351"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0A0351" w:rsidRPr="00E33D55"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color w:val="000000" w:themeColor="text1"/>
          <w:sz w:val="22"/>
          <w:u w:color="000000" w:themeColor="text1"/>
        </w:rPr>
      </w:pPr>
      <w:r>
        <w:rPr>
          <w:b/>
          <w:color w:val="000000" w:themeColor="text1"/>
          <w:sz w:val="22"/>
          <w:u w:color="000000" w:themeColor="text1"/>
        </w:rPr>
        <w:t>Beneficiaries, SCRS</w:t>
      </w:r>
    </w:p>
    <w:p w:rsidR="000A0351" w:rsidRPr="0020121B"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0A0351" w:rsidRPr="0020121B"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20121B">
        <w:rPr>
          <w:color w:val="000000" w:themeColor="text1"/>
          <w:sz w:val="22"/>
          <w:u w:color="000000" w:themeColor="text1"/>
        </w:rPr>
        <w:t>SECTION</w:t>
      </w:r>
      <w:r w:rsidRPr="0020121B">
        <w:rPr>
          <w:color w:val="000000" w:themeColor="text1"/>
          <w:sz w:val="22"/>
          <w:u w:color="000000" w:themeColor="text1"/>
        </w:rPr>
        <w:tab/>
        <w:t>2.</w:t>
      </w:r>
      <w:r w:rsidRPr="0020121B">
        <w:rPr>
          <w:color w:val="000000" w:themeColor="text1"/>
          <w:sz w:val="22"/>
          <w:u w:color="000000" w:themeColor="text1"/>
        </w:rPr>
        <w:tab/>
        <w:t>Section 9</w:t>
      </w:r>
      <w:r>
        <w:rPr>
          <w:color w:val="000000" w:themeColor="text1"/>
          <w:sz w:val="22"/>
          <w:u w:color="000000" w:themeColor="text1"/>
        </w:rPr>
        <w:noBreakHyphen/>
      </w:r>
      <w:r w:rsidRPr="0020121B">
        <w:rPr>
          <w:color w:val="000000" w:themeColor="text1"/>
          <w:sz w:val="22"/>
          <w:u w:color="000000" w:themeColor="text1"/>
        </w:rPr>
        <w:t>1</w:t>
      </w:r>
      <w:r>
        <w:rPr>
          <w:color w:val="000000" w:themeColor="text1"/>
          <w:sz w:val="22"/>
          <w:u w:color="000000" w:themeColor="text1"/>
        </w:rPr>
        <w:noBreakHyphen/>
      </w:r>
      <w:r w:rsidRPr="0020121B">
        <w:rPr>
          <w:color w:val="000000" w:themeColor="text1"/>
          <w:sz w:val="22"/>
          <w:u w:color="000000" w:themeColor="text1"/>
        </w:rPr>
        <w:t>1650 of the 1976 Code</w:t>
      </w:r>
      <w:r>
        <w:rPr>
          <w:color w:val="000000" w:themeColor="text1"/>
          <w:sz w:val="22"/>
          <w:u w:color="000000" w:themeColor="text1"/>
        </w:rPr>
        <w:t>, as last amended by Act 149 of 2018,</w:t>
      </w:r>
      <w:r w:rsidRPr="0020121B">
        <w:rPr>
          <w:color w:val="000000" w:themeColor="text1"/>
          <w:sz w:val="22"/>
          <w:u w:color="000000" w:themeColor="text1"/>
        </w:rPr>
        <w:t xml:space="preserve"> is</w:t>
      </w:r>
      <w:r>
        <w:rPr>
          <w:color w:val="000000" w:themeColor="text1"/>
          <w:sz w:val="22"/>
          <w:u w:color="000000" w:themeColor="text1"/>
        </w:rPr>
        <w:t xml:space="preserve"> further</w:t>
      </w:r>
      <w:r w:rsidRPr="0020121B">
        <w:rPr>
          <w:color w:val="000000" w:themeColor="text1"/>
          <w:sz w:val="22"/>
          <w:u w:color="000000" w:themeColor="text1"/>
        </w:rPr>
        <w:t xml:space="preserve"> amended to read:</w:t>
      </w:r>
    </w:p>
    <w:p w:rsidR="000A0351" w:rsidRPr="0020121B"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20121B">
        <w:rPr>
          <w:rFonts w:cs="Times New Roman"/>
          <w:color w:val="000000" w:themeColor="text1"/>
          <w:u w:color="000000" w:themeColor="text1"/>
        </w:rPr>
        <w:tab/>
        <w:t>“Section 9</w:t>
      </w:r>
      <w:r>
        <w:rPr>
          <w:rFonts w:cs="Times New Roman"/>
          <w:color w:val="000000" w:themeColor="text1"/>
          <w:u w:color="000000" w:themeColor="text1"/>
        </w:rPr>
        <w:noBreakHyphen/>
      </w:r>
      <w:r w:rsidRPr="0020121B">
        <w:rPr>
          <w:rFonts w:cs="Times New Roman"/>
          <w:color w:val="000000" w:themeColor="text1"/>
          <w:u w:color="000000" w:themeColor="text1"/>
        </w:rPr>
        <w:t>1</w:t>
      </w:r>
      <w:r>
        <w:rPr>
          <w:rFonts w:cs="Times New Roman"/>
          <w:color w:val="000000" w:themeColor="text1"/>
          <w:u w:color="000000" w:themeColor="text1"/>
        </w:rPr>
        <w:noBreakHyphen/>
      </w:r>
      <w:r w:rsidRPr="0020121B">
        <w:rPr>
          <w:rFonts w:cs="Times New Roman"/>
          <w:color w:val="000000" w:themeColor="text1"/>
          <w:u w:color="000000" w:themeColor="text1"/>
        </w:rPr>
        <w:t>1650.</w:t>
      </w:r>
      <w:r w:rsidRPr="0020121B">
        <w:rPr>
          <w:rFonts w:cs="Times New Roman"/>
          <w:color w:val="000000" w:themeColor="text1"/>
          <w:u w:color="000000" w:themeColor="text1"/>
        </w:rPr>
        <w:tab/>
        <w:t>(A)</w:t>
      </w:r>
      <w:r w:rsidRPr="0020121B">
        <w:rPr>
          <w:rFonts w:cs="Times New Roman"/>
          <w:color w:val="000000" w:themeColor="text1"/>
          <w:u w:color="000000" w:themeColor="text1"/>
          <w:lang w:val="en-PH"/>
        </w:rPr>
        <w:tab/>
        <w:t>If a member ceases to be a teacher or employee except by death or retirement, the member must be paid within six months after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demand for payment, but not less than ninety days after ceasing to be a teacher or employee, the sum of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contributions and the accumulated regular interest on the contributions. If the member has five or more years of earned service or eight or more years of such service for a Class Three member, and before the time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Pr>
          <w:rFonts w:cs="Times New Roman"/>
          <w:color w:val="000000" w:themeColor="text1"/>
          <w:u w:color="000000" w:themeColor="text1"/>
          <w:lang w:val="en-PH"/>
        </w:rPr>
        <w:noBreakHyphen/>
      </w:r>
      <w:r w:rsidRPr="0020121B">
        <w:rPr>
          <w:rFonts w:cs="Times New Roman"/>
          <w:color w:val="000000" w:themeColor="text1"/>
          <w:u w:color="000000" w:themeColor="text1"/>
          <w:lang w:val="en-PH"/>
        </w:rPr>
        <w:t>1</w:t>
      </w:r>
      <w:r>
        <w:rPr>
          <w:rFonts w:cs="Times New Roman"/>
          <w:color w:val="000000" w:themeColor="text1"/>
          <w:u w:color="000000" w:themeColor="text1"/>
          <w:lang w:val="en-PH"/>
        </w:rPr>
        <w:noBreakHyphen/>
      </w:r>
      <w:r w:rsidRPr="0020121B">
        <w:rPr>
          <w:rFonts w:cs="Times New Roman"/>
          <w:color w:val="000000" w:themeColor="text1"/>
          <w:u w:color="000000" w:themeColor="text1"/>
          <w:lang w:val="en-PH"/>
        </w:rPr>
        <w:t>1550(A) or (B) for Class One and Class Two members and Section 9</w:t>
      </w:r>
      <w:r>
        <w:rPr>
          <w:rFonts w:cs="Times New Roman"/>
          <w:color w:val="000000" w:themeColor="text1"/>
          <w:u w:color="000000" w:themeColor="text1"/>
          <w:lang w:val="en-PH"/>
        </w:rPr>
        <w:noBreakHyphen/>
      </w:r>
      <w:r w:rsidRPr="0020121B">
        <w:rPr>
          <w:rFonts w:cs="Times New Roman"/>
          <w:color w:val="000000" w:themeColor="text1"/>
          <w:u w:color="000000" w:themeColor="text1"/>
          <w:lang w:val="en-PH"/>
        </w:rPr>
        <w:t>1</w:t>
      </w:r>
      <w:r>
        <w:rPr>
          <w:rFonts w:cs="Times New Roman"/>
          <w:color w:val="000000" w:themeColor="text1"/>
          <w:u w:color="000000" w:themeColor="text1"/>
          <w:lang w:val="en-PH"/>
        </w:rPr>
        <w:noBreakHyphen/>
      </w:r>
      <w:r w:rsidRPr="0020121B">
        <w:rPr>
          <w:rFonts w:cs="Times New Roman"/>
          <w:color w:val="000000" w:themeColor="text1"/>
          <w:u w:color="000000" w:themeColor="text1"/>
          <w:lang w:val="en-PH"/>
        </w:rPr>
        <w:t>1550(C) for Class Three members. The employee annuity must be the actuarial equivalent at age sixty of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contributions with the interest credits on the contributions, if any, as allowed by the board. If a member dies before retirement, the amount of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accumulated contributions must be paid to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estate or to the person the member nominated by written designation filed with the board.</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121B">
        <w:rPr>
          <w:rFonts w:cs="Times New Roman"/>
          <w:color w:val="000000" w:themeColor="text1"/>
          <w:u w:color="000000" w:themeColor="text1"/>
          <w:lang w:val="en-PH"/>
        </w:rPr>
        <w:tab/>
        <w:t>(B)</w:t>
      </w:r>
      <w:r w:rsidRPr="0020121B">
        <w:rPr>
          <w:rFonts w:cs="Times New Roman"/>
          <w:color w:val="000000" w:themeColor="text1"/>
          <w:u w:color="000000" w:themeColor="text1"/>
          <w:lang w:val="en-PH"/>
        </w:rPr>
        <w:tab/>
        <w:t>Upon the death of a member who did not select a survivor option or who selected a survivor option and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designated beneficiary predeceased the member, a lump sum amount must be paid to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designated beneficiary or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estate if total member contributions and accrued interest at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retirement exceed the sum of the retirement allowances paid to the member. Upon the death of a designated beneficiary selected under a survivor option, a lump sum amount must be paid to the beneficiary</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estate if total member contributions and accrued interest at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retirement exceed the sum of the retirement allowances paid to the member and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Pr>
          <w:rFonts w:cs="Times New Roman"/>
          <w:color w:val="000000" w:themeColor="text1"/>
          <w:u w:color="000000" w:themeColor="text1"/>
          <w:lang w:val="en-PH"/>
        </w:rPr>
        <w:t>’</w:t>
      </w:r>
      <w:r w:rsidRPr="0020121B">
        <w:rPr>
          <w:rFonts w:cs="Times New Roman"/>
          <w:color w:val="000000" w:themeColor="text1"/>
          <w:u w:color="000000" w:themeColor="text1"/>
          <w:lang w:val="en-PH"/>
        </w:rPr>
        <w:t xml:space="preserve">s designated beneficiary. This paragraph does not govern lump </w:t>
      </w:r>
      <w:r w:rsidRPr="0020121B">
        <w:rPr>
          <w:rFonts w:cs="Times New Roman"/>
          <w:color w:val="000000" w:themeColor="text1"/>
          <w:u w:color="000000" w:themeColor="text1"/>
          <w:lang w:val="en-PH"/>
        </w:rPr>
        <w:lastRenderedPageBreak/>
        <w:t>sum distributions payable on account of members retiring under former Option 1 of Section 9</w:t>
      </w:r>
      <w:r>
        <w:rPr>
          <w:rFonts w:cs="Times New Roman"/>
          <w:color w:val="000000" w:themeColor="text1"/>
          <w:u w:color="000000" w:themeColor="text1"/>
          <w:lang w:val="en-PH"/>
        </w:rPr>
        <w:noBreakHyphen/>
      </w:r>
      <w:r w:rsidRPr="0020121B">
        <w:rPr>
          <w:rFonts w:cs="Times New Roman"/>
          <w:color w:val="000000" w:themeColor="text1"/>
          <w:u w:color="000000" w:themeColor="text1"/>
          <w:lang w:val="en-PH"/>
        </w:rPr>
        <w:t>1</w:t>
      </w:r>
      <w:r>
        <w:rPr>
          <w:rFonts w:cs="Times New Roman"/>
          <w:color w:val="000000" w:themeColor="text1"/>
          <w:u w:color="000000" w:themeColor="text1"/>
          <w:lang w:val="en-PH"/>
        </w:rPr>
        <w:noBreakHyphen/>
      </w:r>
      <w:r w:rsidRPr="0020121B">
        <w:rPr>
          <w:rFonts w:cs="Times New Roman"/>
          <w:color w:val="000000" w:themeColor="text1"/>
          <w:u w:color="000000" w:themeColor="text1"/>
          <w:lang w:val="en-PH"/>
        </w:rPr>
        <w:t>1620 or on account of members retiring before July 1, 1990, under former Option 4 of Section 9</w:t>
      </w:r>
      <w:r>
        <w:rPr>
          <w:rFonts w:cs="Times New Roman"/>
          <w:color w:val="000000" w:themeColor="text1"/>
          <w:u w:color="000000" w:themeColor="text1"/>
          <w:lang w:val="en-PH"/>
        </w:rPr>
        <w:noBreakHyphen/>
      </w:r>
      <w:r w:rsidRPr="0020121B">
        <w:rPr>
          <w:rFonts w:cs="Times New Roman"/>
          <w:color w:val="000000" w:themeColor="text1"/>
          <w:u w:color="000000" w:themeColor="text1"/>
          <w:lang w:val="en-PH"/>
        </w:rPr>
        <w:t>1</w:t>
      </w:r>
      <w:r>
        <w:rPr>
          <w:rFonts w:cs="Times New Roman"/>
          <w:color w:val="000000" w:themeColor="text1"/>
          <w:u w:color="000000" w:themeColor="text1"/>
          <w:lang w:val="en-PH"/>
        </w:rPr>
        <w:noBreakHyphen/>
      </w:r>
      <w:r w:rsidRPr="0020121B">
        <w:rPr>
          <w:rFonts w:cs="Times New Roman"/>
          <w:color w:val="000000" w:themeColor="text1"/>
          <w:u w:color="000000" w:themeColor="text1"/>
          <w:lang w:val="en-PH"/>
        </w:rPr>
        <w:t>1620.</w:t>
      </w:r>
    </w:p>
    <w:p w:rsidR="000A0351" w:rsidRPr="0020121B"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20121B">
        <w:rPr>
          <w:color w:val="000000" w:themeColor="text1"/>
          <w:sz w:val="22"/>
          <w:u w:color="000000" w:themeColor="text1"/>
        </w:rPr>
        <w:tab/>
        <w:t>(C)</w:t>
      </w:r>
      <w:r w:rsidRPr="0020121B">
        <w:rPr>
          <w:color w:val="000000" w:themeColor="text1"/>
          <w:sz w:val="22"/>
          <w:u w:color="000000" w:themeColor="text1"/>
        </w:rPr>
        <w:tab/>
        <w:t>A member who is not retired making the nomination provided under this section also may name contingent beneficiaries in the same manner that primary beneficiaries are named. A contingent beneficiary has no rights under this chapter unless all primary beneficiaries nominated by the member have predeceased the member and the member</w:t>
      </w:r>
      <w:r>
        <w:rPr>
          <w:color w:val="000000" w:themeColor="text1"/>
          <w:sz w:val="22"/>
          <w:u w:color="000000" w:themeColor="text1"/>
        </w:rPr>
        <w:t>’</w:t>
      </w:r>
      <w:r w:rsidRPr="0020121B">
        <w:rPr>
          <w:color w:val="000000" w:themeColor="text1"/>
          <w:sz w:val="22"/>
          <w:u w:color="000000" w:themeColor="text1"/>
        </w:rPr>
        <w:t>s death occurs before retirement. In this instance, a contingent beneficiary is considered the member</w:t>
      </w:r>
      <w:r>
        <w:rPr>
          <w:color w:val="000000" w:themeColor="text1"/>
          <w:sz w:val="22"/>
          <w:u w:color="000000" w:themeColor="text1"/>
        </w:rPr>
        <w:t>’</w:t>
      </w:r>
      <w:r w:rsidRPr="0020121B">
        <w:rPr>
          <w:color w:val="000000" w:themeColor="text1"/>
          <w:sz w:val="22"/>
          <w:u w:color="000000" w:themeColor="text1"/>
        </w:rPr>
        <w:t>s beneficiary for purposes of this section and Section 9</w:t>
      </w:r>
      <w:r>
        <w:rPr>
          <w:color w:val="000000" w:themeColor="text1"/>
          <w:sz w:val="22"/>
          <w:u w:color="000000" w:themeColor="text1"/>
        </w:rPr>
        <w:noBreakHyphen/>
      </w:r>
      <w:r w:rsidRPr="0020121B">
        <w:rPr>
          <w:color w:val="000000" w:themeColor="text1"/>
          <w:sz w:val="22"/>
          <w:u w:color="000000" w:themeColor="text1"/>
        </w:rPr>
        <w:t>1</w:t>
      </w:r>
      <w:r>
        <w:rPr>
          <w:color w:val="000000" w:themeColor="text1"/>
          <w:sz w:val="22"/>
          <w:u w:color="000000" w:themeColor="text1"/>
        </w:rPr>
        <w:noBreakHyphen/>
      </w:r>
      <w:r w:rsidRPr="0020121B">
        <w:rPr>
          <w:color w:val="000000" w:themeColor="text1"/>
          <w:sz w:val="22"/>
          <w:u w:color="000000" w:themeColor="text1"/>
        </w:rPr>
        <w:t>1660, if applicable. A member may not name a contingent beneficiary with respect to death benefits provided under Section 9</w:t>
      </w:r>
      <w:r>
        <w:rPr>
          <w:color w:val="000000" w:themeColor="text1"/>
          <w:sz w:val="22"/>
          <w:u w:color="000000" w:themeColor="text1"/>
        </w:rPr>
        <w:noBreakHyphen/>
      </w:r>
      <w:r w:rsidRPr="0020121B">
        <w:rPr>
          <w:color w:val="000000" w:themeColor="text1"/>
          <w:sz w:val="22"/>
          <w:u w:color="000000" w:themeColor="text1"/>
        </w:rPr>
        <w:t>1</w:t>
      </w:r>
      <w:r>
        <w:rPr>
          <w:color w:val="000000" w:themeColor="text1"/>
          <w:sz w:val="22"/>
          <w:u w:color="000000" w:themeColor="text1"/>
        </w:rPr>
        <w:noBreakHyphen/>
      </w:r>
      <w:r w:rsidRPr="0020121B">
        <w:rPr>
          <w:color w:val="000000" w:themeColor="text1"/>
          <w:sz w:val="22"/>
          <w:u w:color="000000" w:themeColor="text1"/>
        </w:rPr>
        <w:t>1770.”</w:t>
      </w:r>
    </w:p>
    <w:p w:rsidR="000A0351"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0A0351"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Pr>
          <w:b/>
          <w:color w:val="000000" w:themeColor="text1"/>
          <w:sz w:val="22"/>
          <w:u w:color="000000" w:themeColor="text1"/>
        </w:rPr>
        <w:t>Beneficiaries, judges and solicitors</w:t>
      </w:r>
    </w:p>
    <w:p w:rsidR="000A0351" w:rsidRPr="0020121B" w:rsidRDefault="000A0351" w:rsidP="000A0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0121B">
        <w:rPr>
          <w:rFonts w:cs="Times New Roman"/>
          <w:color w:val="000000" w:themeColor="text1"/>
          <w:szCs w:val="24"/>
          <w:u w:color="000000" w:themeColor="text1"/>
        </w:rPr>
        <w:t>SECTION</w:t>
      </w:r>
      <w:r w:rsidRPr="0020121B">
        <w:rPr>
          <w:rFonts w:cs="Times New Roman"/>
          <w:color w:val="000000" w:themeColor="text1"/>
          <w:szCs w:val="24"/>
          <w:u w:color="000000" w:themeColor="text1"/>
        </w:rPr>
        <w:tab/>
        <w:t>3.</w:t>
      </w:r>
      <w:r w:rsidRPr="0020121B">
        <w:rPr>
          <w:rFonts w:cs="Times New Roman"/>
          <w:color w:val="000000" w:themeColor="text1"/>
          <w:szCs w:val="24"/>
          <w:u w:color="000000" w:themeColor="text1"/>
        </w:rPr>
        <w:tab/>
        <w:t>Section 9</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8</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110(1) of the 1976 Code is amended to read:</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0121B">
        <w:rPr>
          <w:rFonts w:cs="Times New Roman"/>
          <w:color w:val="000000" w:themeColor="text1"/>
          <w:szCs w:val="24"/>
          <w:u w:color="000000" w:themeColor="text1"/>
        </w:rPr>
        <w:tab/>
        <w:t>“(1)</w:t>
      </w:r>
      <w:r w:rsidRPr="0020121B">
        <w:rPr>
          <w:rFonts w:cs="Times New Roman"/>
          <w:color w:val="000000" w:themeColor="text1"/>
          <w:szCs w:val="24"/>
          <w:u w:color="000000" w:themeColor="text1"/>
        </w:rPr>
        <w:tab/>
        <w:t>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accumulated contributions</w:t>
      </w:r>
      <w:r>
        <w:rPr>
          <w:rFonts w:cs="Times New Roman"/>
          <w:color w:val="000000" w:themeColor="text1"/>
          <w:szCs w:val="24"/>
          <w:u w:color="000000" w:themeColor="text1"/>
        </w:rPr>
        <w:t xml:space="preserve">. </w:t>
      </w:r>
      <w:r w:rsidRPr="0020121B">
        <w:rPr>
          <w:rFonts w:cs="Times New Roman"/>
          <w:color w:val="000000" w:themeColor="text1"/>
          <w:szCs w:val="24"/>
          <w:u w:color="000000" w:themeColor="text1"/>
        </w:rPr>
        <w:t>A member who is not retired making the nomination provided under this section also may name secondary beneficiaries in the same manner that primary beneficiaries are named. A secondary beneficiary has no rights under this chapter unless all primary beneficiaries nominated by the member predecease the member and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death occurs before retirement. In this instance, a secondary beneficiary is considered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beneficiary for purposes of subsections (1), (2), and (3) of</w:t>
      </w:r>
      <w:r w:rsidRPr="0020121B">
        <w:rPr>
          <w:rFonts w:cs="Times New Roman"/>
          <w:color w:val="000000" w:themeColor="text1"/>
          <w:szCs w:val="24"/>
        </w:rPr>
        <w:t xml:space="preserve"> </w:t>
      </w:r>
      <w:r w:rsidRPr="0020121B">
        <w:rPr>
          <w:rFonts w:cs="Times New Roman"/>
          <w:color w:val="000000" w:themeColor="text1"/>
          <w:szCs w:val="24"/>
          <w:u w:color="000000" w:themeColor="text1"/>
        </w:rPr>
        <w:t>this section.</w:t>
      </w:r>
      <w:r w:rsidRPr="0020121B">
        <w:rPr>
          <w:rFonts w:cs="Times New Roman"/>
          <w:color w:val="000000" w:themeColor="text1"/>
          <w:u w:color="000000" w:themeColor="text1"/>
        </w:rPr>
        <w:t xml:space="preserve"> </w:t>
      </w:r>
      <w:r w:rsidRPr="0020121B">
        <w:rPr>
          <w:rFonts w:cs="Times New Roman"/>
          <w:color w:val="000000" w:themeColor="text1"/>
          <w:szCs w:val="24"/>
          <w:u w:color="000000" w:themeColor="text1"/>
        </w:rPr>
        <w:t>A member may not name a secondary beneficiary with respect to death benefits provided under subsections (5) and (7) of this section.”</w:t>
      </w: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Pr="00E33D55"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b/>
          <w:color w:val="000000" w:themeColor="text1"/>
          <w:u w:color="000000" w:themeColor="text1"/>
        </w:rPr>
        <w:t>Beneficiaries, GARS</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0121B">
        <w:rPr>
          <w:rFonts w:cs="Times New Roman"/>
          <w:color w:val="000000" w:themeColor="text1"/>
          <w:szCs w:val="24"/>
          <w:u w:color="000000" w:themeColor="text1"/>
        </w:rPr>
        <w:t>SECTION</w:t>
      </w:r>
      <w:r w:rsidRPr="0020121B">
        <w:rPr>
          <w:rFonts w:cs="Times New Roman"/>
          <w:color w:val="000000" w:themeColor="text1"/>
          <w:szCs w:val="24"/>
          <w:u w:color="000000" w:themeColor="text1"/>
        </w:rPr>
        <w:tab/>
        <w:t>4.</w:t>
      </w:r>
      <w:r w:rsidRPr="0020121B">
        <w:rPr>
          <w:rFonts w:cs="Times New Roman"/>
          <w:color w:val="000000" w:themeColor="text1"/>
          <w:szCs w:val="24"/>
          <w:u w:color="000000" w:themeColor="text1"/>
        </w:rPr>
        <w:tab/>
        <w:t>Section 9</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9</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100(1) of the 1976 Code is amended to read:</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0121B">
        <w:rPr>
          <w:rFonts w:cs="Times New Roman"/>
          <w:color w:val="000000" w:themeColor="text1"/>
          <w:szCs w:val="24"/>
          <w:u w:color="000000" w:themeColor="text1"/>
        </w:rPr>
        <w:tab/>
        <w:t>“(1)</w:t>
      </w:r>
      <w:r w:rsidRPr="0020121B">
        <w:rPr>
          <w:rFonts w:cs="Times New Roman"/>
          <w:color w:val="000000" w:themeColor="text1"/>
          <w:szCs w:val="24"/>
          <w:u w:color="000000" w:themeColor="text1"/>
        </w:rPr>
        <w:tab/>
        <w:t>Upon the death of a member of the system, a lump sum amount must be paid to the person the member nominated by written designation, filed with the board, otherwise to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estate. This lump sum amount must be equal to the amount of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accumulated contributions</w:t>
      </w:r>
      <w:r>
        <w:rPr>
          <w:rFonts w:cs="Times New Roman"/>
          <w:color w:val="000000" w:themeColor="text1"/>
          <w:szCs w:val="24"/>
          <w:u w:color="000000" w:themeColor="text1"/>
        </w:rPr>
        <w:t>.</w:t>
      </w:r>
      <w:r w:rsidRPr="0020121B">
        <w:rPr>
          <w:rFonts w:cs="Times New Roman"/>
          <w:color w:val="000000" w:themeColor="text1"/>
          <w:szCs w:val="24"/>
          <w:u w:color="000000" w:themeColor="text1"/>
        </w:rPr>
        <w:t xml:space="preserve"> A member who is not retired making the nomination provided under this item also may name contingent beneficiaries in the </w:t>
      </w:r>
      <w:r w:rsidRPr="0020121B">
        <w:rPr>
          <w:rFonts w:cs="Times New Roman"/>
          <w:color w:val="000000" w:themeColor="text1"/>
          <w:szCs w:val="24"/>
          <w:u w:color="000000" w:themeColor="text1"/>
        </w:rPr>
        <w:lastRenderedPageBreak/>
        <w:t>same manner that primary beneficiaries are named. A contingent beneficiary has no rights under this chapter unless all primary beneficiaries nominated by the member have predeceased the member and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death occurs before retirement.</w:t>
      </w:r>
      <w:r w:rsidRPr="0020121B">
        <w:rPr>
          <w:rFonts w:cs="Times New Roman"/>
          <w:color w:val="000000" w:themeColor="text1"/>
          <w:u w:color="000000" w:themeColor="text1"/>
        </w:rPr>
        <w:t xml:space="preserve"> </w:t>
      </w:r>
      <w:r w:rsidRPr="0020121B">
        <w:rPr>
          <w:rFonts w:cs="Times New Roman"/>
          <w:color w:val="000000" w:themeColor="text1"/>
          <w:szCs w:val="24"/>
          <w:u w:color="000000" w:themeColor="text1"/>
        </w:rPr>
        <w:t>In this instance, a contingent beneficiary is considered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beneficiary for purposes of this item and item (3) of this section, if applicable. A member may not name a contingent beneficiary with respect to death benefits provided under subsections (4) and (5) of this section.”</w:t>
      </w: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b/>
          <w:color w:val="000000" w:themeColor="text1"/>
          <w:u w:color="000000" w:themeColor="text1"/>
        </w:rPr>
        <w:t>Beneficiaries, PORS</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0121B">
        <w:rPr>
          <w:rFonts w:cs="Times New Roman"/>
          <w:color w:val="000000" w:themeColor="text1"/>
          <w:szCs w:val="24"/>
          <w:u w:color="000000" w:themeColor="text1"/>
        </w:rPr>
        <w:t>SECTION</w:t>
      </w:r>
      <w:r w:rsidRPr="0020121B">
        <w:rPr>
          <w:rFonts w:cs="Times New Roman"/>
          <w:color w:val="000000" w:themeColor="text1"/>
          <w:szCs w:val="24"/>
          <w:u w:color="000000" w:themeColor="text1"/>
        </w:rPr>
        <w:tab/>
        <w:t>5.</w:t>
      </w:r>
      <w:r w:rsidRPr="0020121B">
        <w:rPr>
          <w:rFonts w:cs="Times New Roman"/>
          <w:color w:val="000000" w:themeColor="text1"/>
          <w:szCs w:val="24"/>
          <w:u w:color="000000" w:themeColor="text1"/>
        </w:rPr>
        <w:tab/>
        <w:t>Section 9</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11</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110(3) of the 1976 Code is amended to read:</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0121B">
        <w:rPr>
          <w:rFonts w:cs="Times New Roman"/>
          <w:color w:val="000000" w:themeColor="text1"/>
          <w:szCs w:val="24"/>
          <w:u w:color="000000" w:themeColor="text1"/>
        </w:rPr>
        <w:tab/>
        <w:t>“(3)</w:t>
      </w:r>
      <w:r w:rsidRPr="0020121B">
        <w:rPr>
          <w:rFonts w:cs="Times New Roman"/>
          <w:color w:val="000000" w:themeColor="text1"/>
          <w:szCs w:val="24"/>
          <w:u w:color="000000" w:themeColor="text1"/>
        </w:rPr>
        <w:tab/>
        <w:t>A member who is not retired making the nomination provided under subsection (1) of this section also may name contingent beneficiaries in the same manner that primary beneficiaries are named. A contingent beneficiary has no rights under this chapter unless all primary beneficiaries nominated by the member have predeceased the member and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death occurs before retirement. In this instance, a contingent beneficiary is considered the member</w:t>
      </w:r>
      <w:r>
        <w:rPr>
          <w:rFonts w:cs="Times New Roman"/>
          <w:color w:val="000000" w:themeColor="text1"/>
          <w:szCs w:val="24"/>
          <w:u w:color="000000" w:themeColor="text1"/>
        </w:rPr>
        <w:t>’</w:t>
      </w:r>
      <w:r w:rsidRPr="0020121B">
        <w:rPr>
          <w:rFonts w:cs="Times New Roman"/>
          <w:color w:val="000000" w:themeColor="text1"/>
          <w:szCs w:val="24"/>
          <w:u w:color="000000" w:themeColor="text1"/>
        </w:rPr>
        <w:t>s beneficiary for purposes of subsection (1) of this section and Section 9</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11</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130, if applicable. A member may not name a contingent beneficiary with respect to death benefits provided under Section 9</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11</w:t>
      </w:r>
      <w:r>
        <w:rPr>
          <w:rFonts w:cs="Times New Roman"/>
          <w:color w:val="000000" w:themeColor="text1"/>
          <w:szCs w:val="24"/>
          <w:u w:color="000000" w:themeColor="text1"/>
        </w:rPr>
        <w:noBreakHyphen/>
      </w:r>
      <w:r w:rsidRPr="0020121B">
        <w:rPr>
          <w:rFonts w:cs="Times New Roman"/>
          <w:color w:val="000000" w:themeColor="text1"/>
          <w:szCs w:val="24"/>
          <w:u w:color="000000" w:themeColor="text1"/>
        </w:rPr>
        <w:t>120.”</w:t>
      </w: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Pr="00E33D55"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Repeal</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121B">
        <w:rPr>
          <w:rFonts w:cs="Times New Roman"/>
          <w:color w:val="000000" w:themeColor="text1"/>
          <w:u w:color="000000" w:themeColor="text1"/>
        </w:rPr>
        <w:t>SECTION</w:t>
      </w:r>
      <w:r w:rsidRPr="0020121B">
        <w:rPr>
          <w:rFonts w:cs="Times New Roman"/>
          <w:color w:val="000000" w:themeColor="text1"/>
          <w:u w:color="000000" w:themeColor="text1"/>
        </w:rPr>
        <w:tab/>
        <w:t>6.</w:t>
      </w:r>
      <w:r w:rsidRPr="0020121B">
        <w:rPr>
          <w:rFonts w:cs="Times New Roman"/>
          <w:color w:val="000000" w:themeColor="text1"/>
          <w:u w:color="000000" w:themeColor="text1"/>
        </w:rPr>
        <w:tab/>
        <w:t>A.</w:t>
      </w:r>
      <w:r w:rsidRPr="0020121B">
        <w:rPr>
          <w:rFonts w:cs="Times New Roman"/>
          <w:color w:val="000000" w:themeColor="text1"/>
          <w:u w:color="000000" w:themeColor="text1"/>
        </w:rPr>
        <w:tab/>
        <w:t>Chapter 2, Title 9 of the 1976 Code is repealed.</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0121B">
        <w:rPr>
          <w:rFonts w:cs="Times New Roman"/>
          <w:color w:val="000000" w:themeColor="text1"/>
          <w:u w:color="000000" w:themeColor="text1"/>
        </w:rPr>
        <w:t>B.</w:t>
      </w:r>
      <w:r w:rsidRPr="0020121B">
        <w:rPr>
          <w:rFonts w:cs="Times New Roman"/>
          <w:color w:val="000000" w:themeColor="text1"/>
          <w:u w:color="000000" w:themeColor="text1"/>
        </w:rPr>
        <w:tab/>
        <w:t>This SECTION takes effect on July 1, 2021.</w:t>
      </w: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A0351" w:rsidRPr="00E33D55"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A0351" w:rsidRPr="0020121B"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121B">
        <w:rPr>
          <w:rFonts w:eastAsia="Times New Roman" w:cs="Times New Roman"/>
        </w:rPr>
        <w:t>SECTION</w:t>
      </w:r>
      <w:r w:rsidRPr="0020121B">
        <w:rPr>
          <w:rFonts w:eastAsia="Times New Roman" w:cs="Times New Roman"/>
        </w:rPr>
        <w:tab/>
        <w:t>7.</w:t>
      </w:r>
      <w:r w:rsidRPr="0020121B">
        <w:rPr>
          <w:rFonts w:eastAsia="Times New Roman" w:cs="Times New Roman"/>
        </w:rPr>
        <w:tab/>
        <w:t>Except as otherwise provided, this act takes effect upon approval by the Governor.</w:t>
      </w: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A0351" w:rsidRDefault="000A0351"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0A0351" w:rsidRDefault="000A0351" w:rsidP="000A0351">
      <w:pPr>
        <w:jc w:val="both"/>
        <w:rPr>
          <w:color w:val="000000" w:themeColor="text1"/>
        </w:rPr>
      </w:pPr>
    </w:p>
    <w:p w:rsidR="000A0351" w:rsidRDefault="000A0351" w:rsidP="000A0351">
      <w:pPr>
        <w:jc w:val="both"/>
        <w:rPr>
          <w:color w:val="000000" w:themeColor="text1"/>
        </w:rPr>
      </w:pPr>
      <w:r>
        <w:rPr>
          <w:color w:val="000000" w:themeColor="text1"/>
        </w:rPr>
        <w:t>Approved the 17</w:t>
      </w:r>
      <w:r w:rsidRPr="00777983">
        <w:rPr>
          <w:color w:val="000000" w:themeColor="text1"/>
          <w:vertAlign w:val="superscript"/>
        </w:rPr>
        <w:t>th</w:t>
      </w:r>
      <w:r>
        <w:rPr>
          <w:color w:val="000000" w:themeColor="text1"/>
        </w:rPr>
        <w:t xml:space="preserve"> day of May, 2021. </w:t>
      </w:r>
    </w:p>
    <w:p w:rsidR="000A0351" w:rsidRDefault="000A0351" w:rsidP="000A0351">
      <w:pPr>
        <w:jc w:val="center"/>
        <w:rPr>
          <w:color w:val="000000" w:themeColor="text1"/>
        </w:rPr>
      </w:pPr>
    </w:p>
    <w:p w:rsidR="000A0351" w:rsidRDefault="000A0351" w:rsidP="000A0351">
      <w:pPr>
        <w:jc w:val="center"/>
        <w:rPr>
          <w:color w:val="000000" w:themeColor="text1"/>
        </w:rPr>
      </w:pPr>
      <w:r>
        <w:rPr>
          <w:color w:val="000000" w:themeColor="text1"/>
        </w:rPr>
        <w:t>__________</w:t>
      </w:r>
    </w:p>
    <w:p w:rsidR="007A606F" w:rsidRPr="00E71309" w:rsidRDefault="007A606F" w:rsidP="000A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A606F" w:rsidRPr="00E71309" w:rsidSect="007A606F">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10" w:rsidRDefault="00F77E10" w:rsidP="007D5FAC">
      <w:r>
        <w:separator/>
      </w:r>
    </w:p>
  </w:endnote>
  <w:endnote w:type="continuationSeparator" w:id="0">
    <w:p w:rsidR="00F77E10" w:rsidRDefault="00F77E1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F" w:rsidRPr="007A606F" w:rsidRDefault="007A606F" w:rsidP="007A606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B41C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F" w:rsidRDefault="007A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10" w:rsidRDefault="00F77E10" w:rsidP="007D5FAC">
      <w:r>
        <w:separator/>
      </w:r>
    </w:p>
  </w:footnote>
  <w:footnote w:type="continuationSeparator" w:id="0">
    <w:p w:rsidR="00F77E10" w:rsidRDefault="00F77E1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58"/>
    <w:docVar w:name="ActSecretary" w:val="Charlton"/>
    <w:docVar w:name="ActSIdno" w:val="(90)  658DG21"/>
    <w:docVar w:name="clipname" w:val="658DG21"/>
    <w:docVar w:name="dvBillNumber" w:val="658"/>
    <w:docVar w:name="dvBillNumberPrefix" w:val="S"/>
    <w:docVar w:name="dvOriginalBody" w:val="Senate"/>
    <w:docVar w:name="OrigSENATEBillNo" w:val="658"/>
    <w:docVar w:name="SENATEACTFULLPATH" w:val="L:\COUNCIL\ACTS\658DG21.DOCX"/>
    <w:docVar w:name="WhatActtype" w:val="AN ACT"/>
  </w:docVars>
  <w:rsids>
    <w:rsidRoot w:val="00F77E10"/>
    <w:rsid w:val="00000AB0"/>
    <w:rsid w:val="00002DE0"/>
    <w:rsid w:val="00012CCF"/>
    <w:rsid w:val="00017F29"/>
    <w:rsid w:val="00020349"/>
    <w:rsid w:val="00021B0B"/>
    <w:rsid w:val="00030487"/>
    <w:rsid w:val="00032EFA"/>
    <w:rsid w:val="00040C05"/>
    <w:rsid w:val="0004579B"/>
    <w:rsid w:val="00051B4F"/>
    <w:rsid w:val="00055653"/>
    <w:rsid w:val="000673E4"/>
    <w:rsid w:val="0007088D"/>
    <w:rsid w:val="000731E9"/>
    <w:rsid w:val="00074565"/>
    <w:rsid w:val="00076A1A"/>
    <w:rsid w:val="00077DA3"/>
    <w:rsid w:val="00081300"/>
    <w:rsid w:val="00085597"/>
    <w:rsid w:val="0008580A"/>
    <w:rsid w:val="00085C37"/>
    <w:rsid w:val="00086E11"/>
    <w:rsid w:val="00087DF0"/>
    <w:rsid w:val="00092EE6"/>
    <w:rsid w:val="00096A9B"/>
    <w:rsid w:val="00096BDA"/>
    <w:rsid w:val="000A0351"/>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1EA4"/>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445A"/>
    <w:rsid w:val="002561F6"/>
    <w:rsid w:val="00257ACD"/>
    <w:rsid w:val="002710C8"/>
    <w:rsid w:val="00273EA7"/>
    <w:rsid w:val="00274843"/>
    <w:rsid w:val="002758F4"/>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3ACA"/>
    <w:rsid w:val="00400828"/>
    <w:rsid w:val="00403FC9"/>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5184"/>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1C5"/>
    <w:rsid w:val="006B4FA6"/>
    <w:rsid w:val="006C7535"/>
    <w:rsid w:val="006C7D00"/>
    <w:rsid w:val="006C7DDE"/>
    <w:rsid w:val="006E7E07"/>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606F"/>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5F4"/>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08EC"/>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2902"/>
    <w:rsid w:val="00A450A2"/>
    <w:rsid w:val="00A46627"/>
    <w:rsid w:val="00A475E8"/>
    <w:rsid w:val="00A512E6"/>
    <w:rsid w:val="00A5364F"/>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656"/>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1C0D"/>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1A2F"/>
    <w:rsid w:val="00C7071A"/>
    <w:rsid w:val="00C73A60"/>
    <w:rsid w:val="00C74282"/>
    <w:rsid w:val="00C74E9D"/>
    <w:rsid w:val="00C837F6"/>
    <w:rsid w:val="00C92B7D"/>
    <w:rsid w:val="00C92E2B"/>
    <w:rsid w:val="00C93EBC"/>
    <w:rsid w:val="00C94E59"/>
    <w:rsid w:val="00C97CB8"/>
    <w:rsid w:val="00CA23B8"/>
    <w:rsid w:val="00CA4CD7"/>
    <w:rsid w:val="00CB12FE"/>
    <w:rsid w:val="00CC2825"/>
    <w:rsid w:val="00CC612C"/>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3D55"/>
    <w:rsid w:val="00E3462F"/>
    <w:rsid w:val="00E36231"/>
    <w:rsid w:val="00E500F1"/>
    <w:rsid w:val="00E5358E"/>
    <w:rsid w:val="00E5412E"/>
    <w:rsid w:val="00E5665F"/>
    <w:rsid w:val="00E60357"/>
    <w:rsid w:val="00E614B9"/>
    <w:rsid w:val="00E61B4C"/>
    <w:rsid w:val="00E71309"/>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E10"/>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0B05983-3076-4E05-9180-C104D18A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A60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unhideWhenUsed/>
    <w:rsid w:val="0008559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032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FA"/>
    <w:rPr>
      <w:rFonts w:ascii="Segoe UI" w:hAnsi="Segoe UI" w:cs="Segoe UI"/>
      <w:sz w:val="18"/>
      <w:szCs w:val="18"/>
    </w:rPr>
  </w:style>
  <w:style w:type="table" w:styleId="TableGrid">
    <w:name w:val="Table Grid"/>
    <w:basedOn w:val="TableNormal"/>
    <w:uiPriority w:val="59"/>
    <w:rsid w:val="00012CC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A606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61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hj\20210511.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21-22\658_20210311.docx" TargetMode="External"/><Relationship Id="rId7" Type="http://schemas.openxmlformats.org/officeDocument/2006/relationships/hyperlink" Target="file:///h:\sj\20210311.docx" TargetMode="External"/><Relationship Id="rId12" Type="http://schemas.openxmlformats.org/officeDocument/2006/relationships/hyperlink" Target="file:///h:\hj\20210413.docx" TargetMode="External"/><Relationship Id="rId17" Type="http://schemas.openxmlformats.org/officeDocument/2006/relationships/hyperlink" Target="file:///h:\hj\2021051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10511.docx" TargetMode="External"/><Relationship Id="rId20" Type="http://schemas.openxmlformats.org/officeDocument/2006/relationships/hyperlink" Target="http://www.scstatehouse.gov/billsearch.php?billnumbers=658&amp;session=124&amp;summary=B" TargetMode="External"/><Relationship Id="rId1" Type="http://schemas.openxmlformats.org/officeDocument/2006/relationships/styles" Target="styles.xml"/><Relationship Id="rId6" Type="http://schemas.openxmlformats.org/officeDocument/2006/relationships/hyperlink" Target="file:///h:\sj\20210311.docx" TargetMode="External"/><Relationship Id="rId11" Type="http://schemas.openxmlformats.org/officeDocument/2006/relationships/hyperlink" Target="file:///h:\sj\20210408.docx" TargetMode="External"/><Relationship Id="rId24" Type="http://schemas.openxmlformats.org/officeDocument/2006/relationships/hyperlink" Target="file:///p:\pprever\2021-22\658_20210504.docx" TargetMode="External"/><Relationship Id="rId5" Type="http://schemas.openxmlformats.org/officeDocument/2006/relationships/endnotes" Target="endnotes.xml"/><Relationship Id="rId15" Type="http://schemas.openxmlformats.org/officeDocument/2006/relationships/hyperlink" Target="file:///h:\hj\20210506.docx" TargetMode="External"/><Relationship Id="rId23" Type="http://schemas.openxmlformats.org/officeDocument/2006/relationships/hyperlink" Target="file:///p:\pprever\2021-22\658_20210401.docx" TargetMode="External"/><Relationship Id="rId28" Type="http://schemas.openxmlformats.org/officeDocument/2006/relationships/theme" Target="theme/theme1.xml"/><Relationship Id="rId10" Type="http://schemas.openxmlformats.org/officeDocument/2006/relationships/hyperlink" Target="file:///h:\sj\20210407.docx" TargetMode="External"/><Relationship Id="rId19" Type="http://schemas.openxmlformats.org/officeDocument/2006/relationships/hyperlink" Target="file:///h:\hj\20210512.docx"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504.docx" TargetMode="External"/><Relationship Id="rId22" Type="http://schemas.openxmlformats.org/officeDocument/2006/relationships/hyperlink" Target="file:///p:\pprever\2021-22\658_2021033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2099</Words>
  <Characters>11151</Characters>
  <Application>Microsoft Office Word</Application>
  <DocSecurity>0</DocSecurity>
  <Lines>278</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658: Retirement systems secondary beneficiaries - South Carolina Legislature Online</dc:title>
  <dc:subject/>
  <dc:creator>Chris Charlton</dc:creator>
  <cp:keywords/>
  <dc:description/>
  <cp:lastModifiedBy>Danny Crook</cp:lastModifiedBy>
  <cp:revision>2</cp:revision>
  <cp:lastPrinted>2021-05-12T18:22:00Z</cp:lastPrinted>
  <dcterms:created xsi:type="dcterms:W3CDTF">2021-06-14T13:13:00Z</dcterms:created>
  <dcterms:modified xsi:type="dcterms:W3CDTF">2021-06-14T13:13:00Z</dcterms:modified>
</cp:coreProperties>
</file>