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0DD8">
        <w:rPr>
          <w:rFonts w:cs="Times New Roman"/>
          <w:b/>
        </w:rPr>
        <w:t>South Carolina General Assembly</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B0DD8">
        <w:rPr>
          <w:rFonts w:cs="Times New Roman"/>
        </w:rPr>
        <w:t>124th Session, 2021-2022</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Pr="008B0DD8" w:rsidRDefault="0032308E"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A102, R33, S704</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0DD8">
        <w:rPr>
          <w:rFonts w:cs="Times New Roman"/>
          <w:b/>
        </w:rPr>
        <w:t>STATUS INFORMATION</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0DD8">
        <w:rPr>
          <w:rFonts w:cs="Times New Roman"/>
        </w:rPr>
        <w:t>Joint Resolution</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0DD8">
        <w:rPr>
          <w:rFonts w:cs="Times New Roman"/>
        </w:rPr>
        <w:t>Sponsors: Senators Hembree, Massey and Malloy</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0DD8">
        <w:rPr>
          <w:rFonts w:cs="Times New Roman"/>
        </w:rPr>
        <w:t>Document Path: l:\s-res\gh\015five.sp.gh.docx</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6B0A" w:rsidRDefault="00716B0A"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25, 2021</w:t>
      </w:r>
    </w:p>
    <w:p w:rsidR="00716B0A" w:rsidRDefault="00716B0A"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716B0A" w:rsidRDefault="00716B0A"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20, 2021</w:t>
      </w:r>
    </w:p>
    <w:p w:rsidR="00716B0A" w:rsidRDefault="00716B0A"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21, 2021</w:t>
      </w:r>
    </w:p>
    <w:p w:rsidR="00716B0A" w:rsidRDefault="00716B0A"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23, 2021, Signed</w:t>
      </w:r>
    </w:p>
    <w:p w:rsidR="00716B0A" w:rsidRDefault="00716B0A"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0DD8">
        <w:rPr>
          <w:rFonts w:cs="Times New Roman"/>
        </w:rPr>
        <w:t>Summary: SCRS, earning limitations</w:t>
      </w: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Pr="008B0DD8" w:rsidRDefault="008B0DD8" w:rsidP="008B0D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Pr="008B0DD8" w:rsidRDefault="008B0DD8" w:rsidP="008B0DD8">
      <w:pPr>
        <w:widowControl w:val="0"/>
        <w:tabs>
          <w:tab w:val="center" w:pos="590"/>
          <w:tab w:val="center" w:pos="1440"/>
          <w:tab w:val="left" w:pos="1872"/>
          <w:tab w:val="left" w:pos="9187"/>
        </w:tabs>
        <w:rPr>
          <w:rFonts w:cs="Times New Roman"/>
        </w:rPr>
      </w:pPr>
      <w:r w:rsidRPr="008B0DD8">
        <w:rPr>
          <w:rFonts w:cs="Times New Roman"/>
          <w:b/>
        </w:rPr>
        <w:t>HISTORY OF LEGISLATIVE ACTIONS</w:t>
      </w:r>
    </w:p>
    <w:p w:rsidR="008B0DD8" w:rsidRPr="008B0DD8" w:rsidRDefault="008B0DD8" w:rsidP="008B0DD8">
      <w:pPr>
        <w:widowControl w:val="0"/>
        <w:tabs>
          <w:tab w:val="center" w:pos="590"/>
          <w:tab w:val="center" w:pos="1440"/>
          <w:tab w:val="left" w:pos="1872"/>
          <w:tab w:val="left" w:pos="9187"/>
        </w:tabs>
        <w:rPr>
          <w:rFonts w:cs="Times New Roman"/>
        </w:rPr>
      </w:pPr>
    </w:p>
    <w:p w:rsidR="008B0DD8" w:rsidRPr="008B0DD8" w:rsidRDefault="008B0DD8" w:rsidP="008B0DD8">
      <w:pPr>
        <w:widowControl w:val="0"/>
        <w:tabs>
          <w:tab w:val="center" w:pos="590"/>
          <w:tab w:val="center" w:pos="1440"/>
          <w:tab w:val="left" w:pos="1872"/>
          <w:tab w:val="left" w:pos="9187"/>
        </w:tabs>
        <w:rPr>
          <w:rFonts w:cs="Times New Roman"/>
        </w:rPr>
      </w:pPr>
      <w:r w:rsidRPr="008B0DD8">
        <w:rPr>
          <w:rFonts w:cs="Times New Roman"/>
          <w:u w:val="single"/>
        </w:rPr>
        <w:tab/>
        <w:t>Date</w:t>
      </w:r>
      <w:r w:rsidRPr="008B0DD8">
        <w:rPr>
          <w:rFonts w:cs="Times New Roman"/>
          <w:u w:val="single"/>
        </w:rPr>
        <w:tab/>
        <w:t>Body</w:t>
      </w:r>
      <w:r w:rsidRPr="008B0DD8">
        <w:rPr>
          <w:rFonts w:cs="Times New Roman"/>
          <w:u w:val="single"/>
        </w:rPr>
        <w:tab/>
        <w:t>Action Description with journal page number</w:t>
      </w:r>
      <w:r w:rsidRPr="008B0DD8">
        <w:rPr>
          <w:rFonts w:cs="Times New Roman"/>
          <w:u w:val="single"/>
        </w:rPr>
        <w:tab/>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Introduced, read first time, placed on calendar without reference (</w:t>
      </w:r>
      <w:hyperlink r:id="rId6" w:history="1">
        <w:r w:rsidRPr="007462E1">
          <w:rPr>
            <w:rStyle w:val="Hyperlink"/>
            <w:rFonts w:cs="Times New Roman"/>
          </w:rPr>
          <w:t>Senate Journal</w:t>
        </w:r>
        <w:r w:rsidRPr="007462E1">
          <w:rPr>
            <w:rStyle w:val="Hyperlink"/>
            <w:rFonts w:cs="Times New Roman"/>
          </w:rPr>
          <w:noBreakHyphen/>
          <w:t>page 3</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second time (</w:t>
      </w:r>
      <w:hyperlink r:id="rId7" w:history="1">
        <w:r w:rsidRPr="007462E1">
          <w:rPr>
            <w:rStyle w:val="Hyperlink"/>
            <w:rFonts w:cs="Times New Roman"/>
          </w:rPr>
          <w:t>Senate Journal</w:t>
        </w:r>
        <w:r w:rsidRPr="007462E1">
          <w:rPr>
            <w:rStyle w:val="Hyperlink"/>
            <w:rFonts w:cs="Times New Roman"/>
          </w:rPr>
          <w:noBreakHyphen/>
          <w:t>page 23</w:t>
        </w:r>
      </w:hyperlink>
      <w:bookmarkStart w:id="0" w:name="_GoBack"/>
      <w:bookmarkEnd w:id="0"/>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Amended (</w:t>
      </w:r>
      <w:hyperlink r:id="rId8" w:history="1">
        <w:r w:rsidRPr="007462E1">
          <w:rPr>
            <w:rStyle w:val="Hyperlink"/>
            <w:rFonts w:cs="Times New Roman"/>
          </w:rPr>
          <w:t>Senate Journal</w:t>
        </w:r>
        <w:r w:rsidRPr="007462E1">
          <w:rPr>
            <w:rStyle w:val="Hyperlink"/>
            <w:rFonts w:cs="Times New Roman"/>
          </w:rPr>
          <w:noBreakHyphen/>
          <w:t>page 37</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third time and sent to House (</w:t>
      </w:r>
      <w:hyperlink r:id="rId9" w:history="1">
        <w:r w:rsidRPr="007462E1">
          <w:rPr>
            <w:rStyle w:val="Hyperlink"/>
            <w:rFonts w:cs="Times New Roman"/>
          </w:rPr>
          <w:t>Senate Journal</w:t>
        </w:r>
        <w:r w:rsidRPr="007462E1">
          <w:rPr>
            <w:rStyle w:val="Hyperlink"/>
            <w:rFonts w:cs="Times New Roman"/>
          </w:rPr>
          <w:noBreakHyphen/>
          <w:t>page 37</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7462E1">
          <w:rPr>
            <w:rStyle w:val="Hyperlink"/>
            <w:rFonts w:cs="Times New Roman"/>
          </w:rPr>
          <w:t>Senate Journal</w:t>
        </w:r>
        <w:r w:rsidRPr="007462E1">
          <w:rPr>
            <w:rStyle w:val="Hyperlink"/>
            <w:rFonts w:cs="Times New Roman"/>
          </w:rPr>
          <w:noBreakHyphen/>
          <w:t>page 37</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1" w:history="1">
        <w:r w:rsidRPr="007462E1">
          <w:rPr>
            <w:rStyle w:val="Hyperlink"/>
            <w:rFonts w:cs="Times New Roman"/>
          </w:rPr>
          <w:t>House Journal</w:t>
        </w:r>
        <w:r w:rsidRPr="007462E1">
          <w:rPr>
            <w:rStyle w:val="Hyperlink"/>
            <w:rFonts w:cs="Times New Roman"/>
          </w:rPr>
          <w:noBreakHyphen/>
          <w:t>page 132</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7462E1">
        <w:rPr>
          <w:rFonts w:cs="Times New Roman"/>
          <w:b/>
        </w:rPr>
        <w:t>Education and Public Works</w:t>
      </w:r>
      <w:r>
        <w:rPr>
          <w:rFonts w:cs="Times New Roman"/>
        </w:rPr>
        <w:t xml:space="preserve"> (</w:t>
      </w:r>
      <w:hyperlink r:id="rId12" w:history="1">
        <w:r w:rsidRPr="007462E1">
          <w:rPr>
            <w:rStyle w:val="Hyperlink"/>
            <w:rFonts w:cs="Times New Roman"/>
          </w:rPr>
          <w:t>House Journal</w:t>
        </w:r>
        <w:r w:rsidRPr="007462E1">
          <w:rPr>
            <w:rStyle w:val="Hyperlink"/>
            <w:rFonts w:cs="Times New Roman"/>
          </w:rPr>
          <w:noBreakHyphen/>
          <w:t>page 132</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Recalled from Committee on </w:t>
      </w:r>
      <w:r w:rsidRPr="007462E1">
        <w:rPr>
          <w:rFonts w:cs="Times New Roman"/>
          <w:b/>
        </w:rPr>
        <w:t>Education and Public Works</w:t>
      </w:r>
      <w:r>
        <w:rPr>
          <w:rFonts w:cs="Times New Roman"/>
        </w:rPr>
        <w:t xml:space="preserve"> (</w:t>
      </w:r>
      <w:hyperlink r:id="rId13" w:history="1">
        <w:r w:rsidRPr="007462E1">
          <w:rPr>
            <w:rStyle w:val="Hyperlink"/>
            <w:rFonts w:cs="Times New Roman"/>
          </w:rPr>
          <w:t>House Journal</w:t>
        </w:r>
        <w:r w:rsidRPr="007462E1">
          <w:rPr>
            <w:rStyle w:val="Hyperlink"/>
            <w:rFonts w:cs="Times New Roman"/>
          </w:rPr>
          <w:noBreakHyphen/>
          <w:t>page 18</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Amended (</w:t>
      </w:r>
      <w:hyperlink r:id="rId14" w:history="1">
        <w:r w:rsidRPr="007462E1">
          <w:rPr>
            <w:rStyle w:val="Hyperlink"/>
            <w:rFonts w:cs="Times New Roman"/>
          </w:rPr>
          <w:t>House Journal</w:t>
        </w:r>
        <w:r w:rsidRPr="007462E1">
          <w:rPr>
            <w:rStyle w:val="Hyperlink"/>
            <w:rFonts w:cs="Times New Roman"/>
          </w:rPr>
          <w:noBreakHyphen/>
          <w:t>page 20</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Read second time (</w:t>
      </w:r>
      <w:hyperlink r:id="rId15" w:history="1">
        <w:r w:rsidRPr="007462E1">
          <w:rPr>
            <w:rStyle w:val="Hyperlink"/>
            <w:rFonts w:cs="Times New Roman"/>
          </w:rPr>
          <w:t>House Journal</w:t>
        </w:r>
        <w:r w:rsidRPr="007462E1">
          <w:rPr>
            <w:rStyle w:val="Hyperlink"/>
            <w:rFonts w:cs="Times New Roman"/>
          </w:rPr>
          <w:noBreakHyphen/>
          <w:t>page 20</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Roll call Yeas</w:t>
      </w:r>
      <w:r>
        <w:rPr>
          <w:rFonts w:cs="Times New Roman"/>
        </w:rPr>
        <w:noBreakHyphen/>
        <w:t>106  Nays</w:t>
      </w:r>
      <w:r>
        <w:rPr>
          <w:rFonts w:cs="Times New Roman"/>
        </w:rPr>
        <w:noBreakHyphen/>
        <w:t>7 (</w:t>
      </w:r>
      <w:hyperlink r:id="rId16" w:history="1">
        <w:r w:rsidRPr="007462E1">
          <w:rPr>
            <w:rStyle w:val="Hyperlink"/>
            <w:rFonts w:cs="Times New Roman"/>
          </w:rPr>
          <w:t>House Journal</w:t>
        </w:r>
        <w:r w:rsidRPr="007462E1">
          <w:rPr>
            <w:rStyle w:val="Hyperlink"/>
            <w:rFonts w:cs="Times New Roman"/>
          </w:rPr>
          <w:noBreakHyphen/>
          <w:t>page 21</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Read third time and returned to Senate with amendments (</w:t>
      </w:r>
      <w:hyperlink r:id="rId17" w:history="1">
        <w:r w:rsidRPr="007462E1">
          <w:rPr>
            <w:rStyle w:val="Hyperlink"/>
            <w:rFonts w:cs="Times New Roman"/>
          </w:rPr>
          <w:t>House Journal</w:t>
        </w:r>
        <w:r w:rsidRPr="007462E1">
          <w:rPr>
            <w:rStyle w:val="Hyperlink"/>
            <w:rFonts w:cs="Times New Roman"/>
          </w:rPr>
          <w:noBreakHyphen/>
          <w:t>page 5</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House amendment amended (</w:t>
      </w:r>
      <w:hyperlink r:id="rId18" w:history="1">
        <w:r w:rsidRPr="007462E1">
          <w:rPr>
            <w:rStyle w:val="Hyperlink"/>
            <w:rFonts w:cs="Times New Roman"/>
          </w:rPr>
          <w:t>Senate Journal</w:t>
        </w:r>
        <w:r w:rsidRPr="007462E1">
          <w:rPr>
            <w:rStyle w:val="Hyperlink"/>
            <w:rFonts w:cs="Times New Roman"/>
          </w:rPr>
          <w:noBreakHyphen/>
          <w:t>page 10</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7462E1">
          <w:rPr>
            <w:rStyle w:val="Hyperlink"/>
            <w:rFonts w:cs="Times New Roman"/>
          </w:rPr>
          <w:t>Senate Journal</w:t>
        </w:r>
        <w:r w:rsidRPr="007462E1">
          <w:rPr>
            <w:rStyle w:val="Hyperlink"/>
            <w:rFonts w:cs="Times New Roman"/>
          </w:rPr>
          <w:noBreakHyphen/>
          <w:t>page 10</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Senate</w:t>
      </w:r>
      <w:r>
        <w:rPr>
          <w:rFonts w:cs="Times New Roman"/>
        </w:rPr>
        <w:tab/>
        <w:t>Returned to House with amendments (</w:t>
      </w:r>
      <w:hyperlink r:id="rId20" w:history="1">
        <w:r w:rsidRPr="007462E1">
          <w:rPr>
            <w:rStyle w:val="Hyperlink"/>
            <w:rFonts w:cs="Times New Roman"/>
          </w:rPr>
          <w:t>Senate Journal</w:t>
        </w:r>
        <w:r w:rsidRPr="007462E1">
          <w:rPr>
            <w:rStyle w:val="Hyperlink"/>
            <w:rFonts w:cs="Times New Roman"/>
          </w:rPr>
          <w:noBreakHyphen/>
          <w:t>page 10</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Concurred in Senate amendment and enrolled (</w:t>
      </w:r>
      <w:hyperlink r:id="rId21" w:history="1">
        <w:r w:rsidRPr="007462E1">
          <w:rPr>
            <w:rStyle w:val="Hyperlink"/>
            <w:rFonts w:cs="Times New Roman"/>
          </w:rPr>
          <w:t>House Journal</w:t>
        </w:r>
        <w:r w:rsidRPr="007462E1">
          <w:rPr>
            <w:rStyle w:val="Hyperlink"/>
            <w:rFonts w:cs="Times New Roman"/>
          </w:rPr>
          <w:noBreakHyphen/>
          <w:t>page 7</w:t>
        </w:r>
      </w:hyperlink>
      <w:r>
        <w:rPr>
          <w:rFonts w:cs="Times New Roman"/>
        </w:rPr>
        <w:t>)</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Roll call Yeas</w:t>
      </w:r>
      <w:r>
        <w:rPr>
          <w:rFonts w:cs="Times New Roman"/>
        </w:rPr>
        <w:noBreakHyphen/>
        <w:t>110  Nays</w:t>
      </w:r>
      <w:r>
        <w:rPr>
          <w:rFonts w:cs="Times New Roman"/>
        </w:rPr>
        <w:noBreakHyphen/>
        <w:t>0</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Ratified R  33</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r>
      <w:r>
        <w:rPr>
          <w:rFonts w:cs="Times New Roman"/>
        </w:rPr>
        <w:tab/>
        <w:t>Signed By Governor</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Effective date  04/22/21</w:t>
      </w:r>
    </w:p>
    <w:p w:rsidR="0032308E" w:rsidRDefault="0032308E" w:rsidP="0032308E">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102</w:t>
      </w:r>
    </w:p>
    <w:p w:rsidR="0032308E" w:rsidRDefault="0032308E" w:rsidP="0032308E">
      <w:pPr>
        <w:widowControl w:val="0"/>
        <w:tabs>
          <w:tab w:val="right" w:pos="1008"/>
          <w:tab w:val="left" w:pos="1152"/>
          <w:tab w:val="left" w:pos="1872"/>
          <w:tab w:val="left" w:pos="9187"/>
        </w:tabs>
        <w:ind w:left="2088" w:hanging="2088"/>
        <w:rPr>
          <w:rFonts w:cs="Times New Roman"/>
        </w:rPr>
      </w:pPr>
    </w:p>
    <w:p w:rsidR="008B0DD8" w:rsidRPr="008B0DD8" w:rsidRDefault="008B0DD8" w:rsidP="008B0DD8">
      <w:pPr>
        <w:widowControl w:val="0"/>
        <w:tabs>
          <w:tab w:val="right" w:pos="1008"/>
          <w:tab w:val="left" w:pos="1152"/>
          <w:tab w:val="left" w:pos="1872"/>
          <w:tab w:val="left" w:pos="9187"/>
        </w:tabs>
        <w:ind w:left="2088" w:hanging="2088"/>
        <w:rPr>
          <w:rFonts w:cs="Times New Roman"/>
        </w:rPr>
      </w:pPr>
      <w:r w:rsidRPr="008B0DD8">
        <w:rPr>
          <w:rFonts w:cs="Times New Roman"/>
        </w:rPr>
        <w:t xml:space="preserve">View the latest </w:t>
      </w:r>
      <w:hyperlink r:id="rId22" w:history="1">
        <w:r w:rsidRPr="008B0DD8">
          <w:rPr>
            <w:rFonts w:cs="Times New Roman"/>
            <w:color w:val="0000FF" w:themeColor="hyperlink"/>
            <w:u w:val="single"/>
          </w:rPr>
          <w:t>legislative information</w:t>
        </w:r>
      </w:hyperlink>
      <w:r w:rsidRPr="008B0DD8">
        <w:rPr>
          <w:rFonts w:cs="Times New Roman"/>
        </w:rPr>
        <w:t xml:space="preserve"> at the website</w:t>
      </w:r>
    </w:p>
    <w:p w:rsidR="008B0DD8" w:rsidRPr="008B0DD8" w:rsidRDefault="008B0DD8" w:rsidP="008B0DD8">
      <w:pPr>
        <w:widowControl w:val="0"/>
        <w:tabs>
          <w:tab w:val="right" w:pos="1008"/>
          <w:tab w:val="left" w:pos="1152"/>
          <w:tab w:val="left" w:pos="1872"/>
          <w:tab w:val="left" w:pos="9187"/>
        </w:tabs>
        <w:ind w:left="2088" w:hanging="2088"/>
        <w:rPr>
          <w:rFonts w:cs="Times New Roman"/>
        </w:rPr>
      </w:pPr>
    </w:p>
    <w:p w:rsidR="008B0DD8" w:rsidRPr="008B0DD8" w:rsidRDefault="008B0DD8" w:rsidP="008B0DD8">
      <w:pPr>
        <w:widowControl w:val="0"/>
        <w:tabs>
          <w:tab w:val="right" w:pos="1008"/>
          <w:tab w:val="left" w:pos="1152"/>
          <w:tab w:val="left" w:pos="1872"/>
          <w:tab w:val="left" w:pos="9187"/>
        </w:tabs>
        <w:ind w:left="2088" w:hanging="2088"/>
        <w:rPr>
          <w:rFonts w:cs="Times New Roman"/>
        </w:rPr>
      </w:pPr>
    </w:p>
    <w:p w:rsidR="008B0DD8" w:rsidRPr="008B0DD8" w:rsidRDefault="008B0DD8"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B0DD8">
        <w:rPr>
          <w:rFonts w:cs="Times New Roman"/>
          <w:b/>
        </w:rPr>
        <w:t>VERSIONS OF THIS BILL</w:t>
      </w:r>
    </w:p>
    <w:p w:rsidR="008B0DD8" w:rsidRPr="008B0DD8" w:rsidRDefault="008B0DD8"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Pr="008B0DD8" w:rsidRDefault="00DA5726"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8B0DD8" w:rsidRPr="008B0DD8">
          <w:rPr>
            <w:rFonts w:cs="Times New Roman"/>
            <w:color w:val="0000FF" w:themeColor="hyperlink"/>
            <w:u w:val="single"/>
          </w:rPr>
          <w:t>3/25/2021</w:t>
        </w:r>
      </w:hyperlink>
    </w:p>
    <w:p w:rsidR="008B0DD8" w:rsidRPr="008B0DD8" w:rsidRDefault="00DA5726"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8B0DD8" w:rsidRPr="008B0DD8">
          <w:rPr>
            <w:rFonts w:cs="Times New Roman"/>
            <w:color w:val="0000FF" w:themeColor="hyperlink"/>
            <w:u w:val="single"/>
          </w:rPr>
          <w:t>3/25/2021-A</w:t>
        </w:r>
      </w:hyperlink>
    </w:p>
    <w:p w:rsidR="008B0DD8" w:rsidRPr="008B0DD8" w:rsidRDefault="00DA5726"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8B0DD8" w:rsidRPr="008B0DD8">
          <w:rPr>
            <w:rFonts w:cs="Times New Roman"/>
            <w:color w:val="0000FF" w:themeColor="hyperlink"/>
            <w:u w:val="single"/>
          </w:rPr>
          <w:t>3/31/2021</w:t>
        </w:r>
      </w:hyperlink>
    </w:p>
    <w:p w:rsidR="008B0DD8" w:rsidRPr="008B0DD8" w:rsidRDefault="00DA5726"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8B0DD8" w:rsidRPr="008B0DD8">
          <w:rPr>
            <w:rFonts w:cs="Times New Roman"/>
            <w:color w:val="0000FF" w:themeColor="hyperlink"/>
            <w:u w:val="single"/>
          </w:rPr>
          <w:t>4/13/2021</w:t>
        </w:r>
      </w:hyperlink>
    </w:p>
    <w:p w:rsidR="008B0DD8" w:rsidRPr="008B0DD8" w:rsidRDefault="00DA5726"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8B0DD8" w:rsidRPr="008B0DD8">
          <w:rPr>
            <w:rFonts w:cs="Times New Roman"/>
            <w:color w:val="0000FF" w:themeColor="hyperlink"/>
            <w:u w:val="single"/>
          </w:rPr>
          <w:t>4/14/2021</w:t>
        </w:r>
      </w:hyperlink>
    </w:p>
    <w:p w:rsidR="008B0DD8" w:rsidRPr="008B0DD8" w:rsidRDefault="00DA5726"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8B0DD8" w:rsidRPr="008B0DD8">
          <w:rPr>
            <w:rFonts w:cs="Times New Roman"/>
            <w:color w:val="0000FF" w:themeColor="hyperlink"/>
            <w:u w:val="single"/>
          </w:rPr>
          <w:t>4/20/2021</w:t>
        </w:r>
      </w:hyperlink>
    </w:p>
    <w:p w:rsidR="008B0DD8" w:rsidRPr="008B0DD8" w:rsidRDefault="008B0DD8"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B0DD8" w:rsidRDefault="008B0DD8" w:rsidP="008B0D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0DD8" w:rsidSect="008B0DD8">
          <w:pgSz w:w="12240" w:h="15840" w:code="1"/>
          <w:pgMar w:top="1080" w:right="1440" w:bottom="1080" w:left="1440" w:header="720" w:footer="720" w:gutter="0"/>
          <w:pgNumType w:start="1"/>
          <w:cols w:space="720"/>
          <w:noEndnote/>
          <w:docGrid w:linePitch="360"/>
        </w:sectPr>
      </w:pP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(A102, R33, S704)</w:t>
      </w:r>
    </w:p>
    <w:p w:rsidR="005E0F8B" w:rsidRPr="008836A5"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E0F8B" w:rsidRPr="008B0DD8"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0DD8">
        <w:rPr>
          <w:rFonts w:cs="Times New Roman"/>
          <w:b/>
          <w:color w:val="000000" w:themeColor="text1"/>
          <w:szCs w:val="36"/>
        </w:rPr>
        <w:t xml:space="preserve">A JOINT RESOLUTION </w:t>
      </w:r>
      <w:bookmarkStart w:id="1" w:name="titleend"/>
      <w:bookmarkEnd w:id="1"/>
      <w:r w:rsidRPr="008B0DD8">
        <w:rPr>
          <w:rFonts w:eastAsia="Times New Roman" w:cs="Times New Roman"/>
          <w:b/>
        </w:rPr>
        <w:t>TO PROVIDE FOR A RETURN TO FIVE</w:t>
      </w:r>
      <w:r w:rsidRPr="008B0DD8">
        <w:rPr>
          <w:rFonts w:eastAsia="Times New Roman" w:cs="Times New Roman"/>
          <w:b/>
        </w:rPr>
        <w:noBreakHyphen/>
        <w:t>DAY, IN</w:t>
      </w:r>
      <w:r w:rsidRPr="008B0DD8">
        <w:rPr>
          <w:rFonts w:eastAsia="Times New Roman" w:cs="Times New Roman"/>
          <w:b/>
        </w:rPr>
        <w:noBreakHyphen/>
        <w:t>PERSON CLASSROOM INSTRUCTION FOR THE 2020</w:t>
      </w:r>
      <w:r w:rsidRPr="008B0DD8">
        <w:rPr>
          <w:rFonts w:eastAsia="Times New Roman" w:cs="Times New Roman"/>
          <w:b/>
        </w:rPr>
        <w:noBreakHyphen/>
        <w:t>2021 AND 2021</w:t>
      </w:r>
      <w:r w:rsidRPr="008B0DD8">
        <w:rPr>
          <w:rFonts w:eastAsia="Times New Roman" w:cs="Times New Roman"/>
          <w:b/>
        </w:rPr>
        <w:noBreakHyphen/>
        <w:t>2022 SCHOOL YEARS, TO SUSPEND THE EARNINGS LIMITATION UNDER CERTAIN TERMS AND FOR CERTAIN MEMBERS OF THE SOUTH CAROLINA RETIREMENT SYSTEM, AND TO PROVIDE REQUIREMENTS CONCERNING DUAL</w:t>
      </w:r>
      <w:r w:rsidRPr="008B0DD8">
        <w:rPr>
          <w:rFonts w:eastAsia="Times New Roman" w:cs="Times New Roman"/>
          <w:b/>
        </w:rPr>
        <w:noBreakHyphen/>
        <w:t>MODALITY INSTRUCTION FOR THE 2021</w:t>
      </w:r>
      <w:r w:rsidRPr="008B0DD8">
        <w:rPr>
          <w:rFonts w:eastAsia="Times New Roman" w:cs="Times New Roman"/>
          <w:b/>
        </w:rPr>
        <w:noBreakHyphen/>
        <w:t>2022 SCHOOL YEAR.</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07014">
        <w:rPr>
          <w:rFonts w:eastAsia="Times New Roman" w:cs="Times New Roman"/>
        </w:rPr>
        <w:t>Be it enacted by the General Assembly of the State of South Carolina:</w:t>
      </w: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0F8B" w:rsidRPr="005A51BF"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Five</w:t>
      </w:r>
      <w:r>
        <w:rPr>
          <w:rFonts w:eastAsia="Times New Roman" w:cs="Times New Roman"/>
          <w:b/>
        </w:rPr>
        <w:noBreakHyphen/>
        <w:t>day, in</w:t>
      </w:r>
      <w:r>
        <w:rPr>
          <w:rFonts w:eastAsia="Times New Roman" w:cs="Times New Roman"/>
          <w:b/>
        </w:rPr>
        <w:noBreakHyphen/>
        <w:t>person classroom instruction mandate</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eastAsia="Times New Roman" w:cs="Times New Roman"/>
        </w:rPr>
        <w:t>SECTION</w:t>
      </w:r>
      <w:r w:rsidRPr="00907014">
        <w:rPr>
          <w:rFonts w:eastAsia="Times New Roman" w:cs="Times New Roman"/>
        </w:rPr>
        <w:tab/>
        <w:t>1.</w:t>
      </w:r>
      <w:r w:rsidRPr="00907014">
        <w:rPr>
          <w:rFonts w:eastAsia="Times New Roman" w:cs="Times New Roman"/>
        </w:rPr>
        <w:tab/>
      </w:r>
      <w:r w:rsidRPr="00907014">
        <w:rPr>
          <w:rFonts w:cs="Times New Roman"/>
          <w:color w:val="000000" w:themeColor="text1"/>
          <w:u w:color="000000" w:themeColor="text1"/>
        </w:rPr>
        <w:t>For the 2020</w:t>
      </w:r>
      <w:r>
        <w:rPr>
          <w:rFonts w:cs="Times New Roman"/>
          <w:color w:val="000000" w:themeColor="text1"/>
          <w:u w:color="000000" w:themeColor="text1"/>
        </w:rPr>
        <w:noBreakHyphen/>
      </w:r>
      <w:r w:rsidRPr="00907014">
        <w:rPr>
          <w:rFonts w:cs="Times New Roman"/>
          <w:color w:val="000000" w:themeColor="text1"/>
          <w:u w:color="000000" w:themeColor="text1"/>
        </w:rPr>
        <w:t>2021 School Year, every school district in the State must offer five</w:t>
      </w:r>
      <w:r>
        <w:rPr>
          <w:rFonts w:cs="Times New Roman"/>
          <w:color w:val="000000" w:themeColor="text1"/>
          <w:u w:color="000000" w:themeColor="text1"/>
        </w:rPr>
        <w:noBreakHyphen/>
      </w:r>
      <w:r w:rsidRPr="00907014">
        <w:rPr>
          <w:rFonts w:cs="Times New Roman"/>
          <w:color w:val="000000" w:themeColor="text1"/>
          <w:u w:color="000000" w:themeColor="text1"/>
        </w:rPr>
        <w:t>day, in</w:t>
      </w:r>
      <w:r>
        <w:rPr>
          <w:rFonts w:cs="Times New Roman"/>
          <w:color w:val="000000" w:themeColor="text1"/>
          <w:u w:color="000000" w:themeColor="text1"/>
        </w:rPr>
        <w:noBreakHyphen/>
      </w:r>
      <w:r w:rsidRPr="00907014">
        <w:rPr>
          <w:rFonts w:cs="Times New Roman"/>
          <w:color w:val="000000" w:themeColor="text1"/>
          <w:u w:color="000000" w:themeColor="text1"/>
        </w:rPr>
        <w:t xml:space="preserve">person classroom instruction to students no later than April </w:t>
      </w:r>
      <w:r w:rsidRPr="00907014">
        <w:rPr>
          <w:rFonts w:cs="Times New Roman"/>
          <w:u w:color="000000" w:themeColor="text1"/>
        </w:rPr>
        <w:t>26</w:t>
      </w:r>
      <w:r w:rsidRPr="00907014">
        <w:rPr>
          <w:rFonts w:cs="Times New Roman"/>
          <w:color w:val="000000" w:themeColor="text1"/>
          <w:u w:color="000000" w:themeColor="text1"/>
        </w:rPr>
        <w:t>, 2021. For the 2021</w:t>
      </w:r>
      <w:r>
        <w:rPr>
          <w:rFonts w:cs="Times New Roman"/>
          <w:color w:val="000000" w:themeColor="text1"/>
          <w:u w:color="000000" w:themeColor="text1"/>
        </w:rPr>
        <w:noBreakHyphen/>
      </w:r>
      <w:r w:rsidRPr="00907014">
        <w:rPr>
          <w:rFonts w:cs="Times New Roman"/>
          <w:color w:val="000000" w:themeColor="text1"/>
          <w:u w:color="000000" w:themeColor="text1"/>
        </w:rPr>
        <w:t>2022 School Year, every school district in the State must offer five</w:t>
      </w:r>
      <w:r>
        <w:rPr>
          <w:rFonts w:cs="Times New Roman"/>
          <w:color w:val="000000" w:themeColor="text1"/>
          <w:u w:color="000000" w:themeColor="text1"/>
        </w:rPr>
        <w:noBreakHyphen/>
      </w:r>
      <w:r w:rsidRPr="00907014">
        <w:rPr>
          <w:rFonts w:cs="Times New Roman"/>
          <w:color w:val="000000" w:themeColor="text1"/>
          <w:u w:color="000000" w:themeColor="text1"/>
        </w:rPr>
        <w:t>day, in</w:t>
      </w:r>
      <w:r>
        <w:rPr>
          <w:rFonts w:cs="Times New Roman"/>
          <w:color w:val="000000" w:themeColor="text1"/>
          <w:u w:color="000000" w:themeColor="text1"/>
        </w:rPr>
        <w:noBreakHyphen/>
      </w:r>
      <w:r w:rsidRPr="00907014">
        <w:rPr>
          <w:rFonts w:cs="Times New Roman"/>
          <w:color w:val="000000" w:themeColor="text1"/>
          <w:u w:color="000000" w:themeColor="text1"/>
        </w:rPr>
        <w:t>person classroom instruction to students.</w:t>
      </w: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p>
    <w:p w:rsidR="005E0F8B" w:rsidRPr="005A51BF"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color w:val="000000" w:themeColor="text1"/>
          <w:u w:color="000000" w:themeColor="text1"/>
        </w:rPr>
      </w:pPr>
      <w:r>
        <w:rPr>
          <w:rFonts w:cs="Times New Roman"/>
          <w:b/>
          <w:color w:val="000000" w:themeColor="text1"/>
          <w:u w:color="000000" w:themeColor="text1"/>
        </w:rPr>
        <w:t>Limited earnings cap suspension for teachers</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cs="Times New Roman"/>
          <w:color w:val="000000" w:themeColor="text1"/>
          <w:u w:color="000000" w:themeColor="text1"/>
        </w:rPr>
        <w:t>SECTION</w:t>
      </w:r>
      <w:r w:rsidRPr="00907014">
        <w:rPr>
          <w:rFonts w:cs="Times New Roman"/>
          <w:color w:val="000000" w:themeColor="text1"/>
          <w:u w:color="000000" w:themeColor="text1"/>
        </w:rPr>
        <w:tab/>
        <w:t>2.</w:t>
      </w:r>
      <w:r w:rsidRPr="00907014">
        <w:rPr>
          <w:rFonts w:cs="Times New Roman"/>
          <w:color w:val="000000" w:themeColor="text1"/>
          <w:u w:color="000000" w:themeColor="text1"/>
        </w:rPr>
        <w:tab/>
        <w:t>(A)</w:t>
      </w:r>
      <w:r w:rsidRPr="00907014">
        <w:rPr>
          <w:rFonts w:cs="Times New Roman"/>
          <w:color w:val="000000" w:themeColor="text1"/>
          <w:u w:color="000000" w:themeColor="text1"/>
        </w:rPr>
        <w:tab/>
        <w:t>Due to the significant health threat and risks associated with the 2019 novel coronavirus, also referred to as COVID</w:t>
      </w:r>
      <w:r>
        <w:rPr>
          <w:rFonts w:cs="Times New Roman"/>
          <w:color w:val="000000" w:themeColor="text1"/>
          <w:u w:color="000000" w:themeColor="text1"/>
        </w:rPr>
        <w:noBreakHyphen/>
      </w:r>
      <w:r w:rsidRPr="00907014">
        <w:rPr>
          <w:rFonts w:cs="Times New Roman"/>
          <w:color w:val="000000" w:themeColor="text1"/>
          <w:u w:color="000000" w:themeColor="text1"/>
        </w:rPr>
        <w:t>19, the earnings limitation imposed pursuant to Section 9</w:t>
      </w:r>
      <w:r>
        <w:rPr>
          <w:rFonts w:cs="Times New Roman"/>
          <w:color w:val="000000" w:themeColor="text1"/>
          <w:u w:color="000000" w:themeColor="text1"/>
        </w:rPr>
        <w:noBreakHyphen/>
      </w:r>
      <w:r w:rsidRPr="00907014">
        <w:rPr>
          <w:rFonts w:cs="Times New Roman"/>
          <w:color w:val="000000" w:themeColor="text1"/>
          <w:u w:color="000000" w:themeColor="text1"/>
        </w:rPr>
        <w:t>1</w:t>
      </w:r>
      <w:r>
        <w:rPr>
          <w:rFonts w:cs="Times New Roman"/>
          <w:color w:val="000000" w:themeColor="text1"/>
          <w:u w:color="000000" w:themeColor="text1"/>
        </w:rPr>
        <w:noBreakHyphen/>
      </w:r>
      <w:r w:rsidRPr="00907014">
        <w:rPr>
          <w:rFonts w:cs="Times New Roman"/>
          <w:color w:val="000000" w:themeColor="text1"/>
          <w:u w:color="000000" w:themeColor="text1"/>
        </w:rPr>
        <w:t>1790 does not apply to a retired member of the South Carolina Retirement System to the extent provided in subsection (B) if the member:</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cs="Times New Roman"/>
          <w:color w:val="000000" w:themeColor="text1"/>
          <w:u w:color="000000" w:themeColor="text1"/>
        </w:rPr>
        <w:tab/>
      </w:r>
      <w:r w:rsidRPr="00907014">
        <w:rPr>
          <w:rFonts w:cs="Times New Roman"/>
          <w:color w:val="000000" w:themeColor="text1"/>
          <w:u w:color="000000" w:themeColor="text1"/>
        </w:rPr>
        <w:tab/>
        <w:t>(1)</w:t>
      </w:r>
      <w:r w:rsidRPr="00907014">
        <w:rPr>
          <w:rFonts w:cs="Times New Roman"/>
          <w:color w:val="000000" w:themeColor="text1"/>
          <w:u w:color="000000" w:themeColor="text1"/>
        </w:rPr>
        <w:tab/>
        <w:t>retired on or before April 1, 2019; and</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cs="Times New Roman"/>
          <w:color w:val="000000" w:themeColor="text1"/>
          <w:u w:color="000000" w:themeColor="text1"/>
        </w:rPr>
        <w:tab/>
      </w:r>
      <w:r w:rsidRPr="00907014">
        <w:rPr>
          <w:rFonts w:cs="Times New Roman"/>
          <w:color w:val="000000" w:themeColor="text1"/>
          <w:u w:color="000000" w:themeColor="text1"/>
        </w:rPr>
        <w:tab/>
        <w:t>(2)</w:t>
      </w:r>
      <w:r w:rsidRPr="00907014">
        <w:rPr>
          <w:rFonts w:cs="Times New Roman"/>
          <w:color w:val="000000" w:themeColor="text1"/>
          <w:u w:color="000000" w:themeColor="text1"/>
        </w:rPr>
        <w:tab/>
        <w:t>returns to otherwise covered employment in the K</w:t>
      </w:r>
      <w:r>
        <w:rPr>
          <w:rFonts w:cs="Times New Roman"/>
          <w:color w:val="000000" w:themeColor="text1"/>
          <w:u w:color="000000" w:themeColor="text1"/>
        </w:rPr>
        <w:noBreakHyphen/>
      </w:r>
      <w:r w:rsidRPr="00907014">
        <w:rPr>
          <w:rFonts w:cs="Times New Roman"/>
          <w:color w:val="000000" w:themeColor="text1"/>
          <w:u w:color="000000" w:themeColor="text1"/>
        </w:rPr>
        <w:t>12 public education system</w:t>
      </w:r>
      <w:r w:rsidRPr="00907014">
        <w:rPr>
          <w:rFonts w:cs="Times New Roman"/>
        </w:rPr>
        <w:t>.</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cs="Times New Roman"/>
          <w:color w:val="000000" w:themeColor="text1"/>
          <w:u w:color="000000" w:themeColor="text1"/>
        </w:rPr>
        <w:tab/>
        <w:t>(B)</w:t>
      </w:r>
      <w:r w:rsidRPr="00907014">
        <w:rPr>
          <w:rFonts w:cs="Times New Roman"/>
          <w:color w:val="000000" w:themeColor="text1"/>
          <w:u w:color="000000" w:themeColor="text1"/>
        </w:rPr>
        <w:tab/>
        <w:t>A retired member who meets the qualifications of subsection (A) may be hired and return to employment covered by the system and earn up to fifty thousand dollars annually without affecting the monthly retirement allowance that the member is receiving from the system. No retired member participating under this section may be compensated for an employment period exceeding thirty</w:t>
      </w:r>
      <w:r>
        <w:rPr>
          <w:rFonts w:cs="Times New Roman"/>
          <w:color w:val="000000" w:themeColor="text1"/>
          <w:u w:color="000000" w:themeColor="text1"/>
        </w:rPr>
        <w:noBreakHyphen/>
      </w:r>
      <w:r w:rsidRPr="00907014">
        <w:rPr>
          <w:rFonts w:cs="Times New Roman"/>
          <w:color w:val="000000" w:themeColor="text1"/>
          <w:u w:color="000000" w:themeColor="text1"/>
        </w:rPr>
        <w:t xml:space="preserve">six consecutive months. An employer shall notify the system of the engagement of a retirement member to perform services, and if an employer fails to notify the system of the engagement of a retired member to perform services, then the employer shall reimburse the system for all benefits wrongly paid to the </w:t>
      </w:r>
      <w:r w:rsidRPr="00907014">
        <w:rPr>
          <w:rFonts w:cs="Times New Roman"/>
          <w:color w:val="000000" w:themeColor="text1"/>
          <w:u w:color="000000" w:themeColor="text1"/>
        </w:rPr>
        <w:lastRenderedPageBreak/>
        <w:t>retired member. Nothing in this joint resolution may be construed to require an employer to hire a person after that person has retired.</w:t>
      </w: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p>
    <w:p w:rsidR="005E0F8B" w:rsidRPr="005A51BF"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color w:val="000000" w:themeColor="text1"/>
          <w:u w:color="000000" w:themeColor="text1"/>
        </w:rPr>
      </w:pPr>
      <w:r>
        <w:rPr>
          <w:rFonts w:cs="Times New Roman"/>
          <w:b/>
          <w:color w:val="000000" w:themeColor="text1"/>
          <w:u w:color="000000" w:themeColor="text1"/>
        </w:rPr>
        <w:t>Dual</w:t>
      </w:r>
      <w:r>
        <w:rPr>
          <w:rFonts w:cs="Times New Roman"/>
          <w:b/>
          <w:color w:val="000000" w:themeColor="text1"/>
          <w:u w:color="000000" w:themeColor="text1"/>
        </w:rPr>
        <w:noBreakHyphen/>
        <w:t>modality instruction requirements, limitations</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eastAsia="Times New Roman" w:cs="Times New Roman"/>
          <w:snapToGrid w:val="0"/>
          <w:szCs w:val="20"/>
        </w:rPr>
        <w:t>SECTIO</w:t>
      </w:r>
      <w:r>
        <w:rPr>
          <w:rFonts w:eastAsia="Times New Roman" w:cs="Times New Roman"/>
          <w:snapToGrid w:val="0"/>
          <w:szCs w:val="20"/>
        </w:rPr>
        <w:t>N</w:t>
      </w:r>
      <w:r>
        <w:rPr>
          <w:rFonts w:eastAsia="Times New Roman" w:cs="Times New Roman"/>
          <w:snapToGrid w:val="0"/>
          <w:szCs w:val="20"/>
        </w:rPr>
        <w:tab/>
      </w:r>
      <w:r w:rsidRPr="00907014">
        <w:rPr>
          <w:rFonts w:eastAsia="Times New Roman" w:cs="Times New Roman"/>
          <w:snapToGrid w:val="0"/>
          <w:szCs w:val="20"/>
        </w:rPr>
        <w:t>3.</w:t>
      </w:r>
      <w:r w:rsidRPr="00907014">
        <w:rPr>
          <w:rFonts w:eastAsia="Times New Roman" w:cs="Times New Roman"/>
          <w:snapToGrid w:val="0"/>
          <w:szCs w:val="20"/>
        </w:rPr>
        <w:tab/>
      </w:r>
      <w:r w:rsidRPr="00907014">
        <w:rPr>
          <w:rFonts w:cs="Times New Roman"/>
          <w:color w:val="000000" w:themeColor="text1"/>
          <w:u w:color="000000" w:themeColor="text1"/>
        </w:rPr>
        <w:t>(A)</w:t>
      </w:r>
      <w:r w:rsidRPr="00907014">
        <w:rPr>
          <w:rFonts w:cs="Times New Roman"/>
          <w:color w:val="000000" w:themeColor="text1"/>
          <w:u w:color="000000" w:themeColor="text1"/>
        </w:rPr>
        <w:tab/>
        <w:t>Due to the need for ongoing, high</w:t>
      </w:r>
      <w:r>
        <w:rPr>
          <w:rFonts w:cs="Times New Roman"/>
          <w:color w:val="000000" w:themeColor="text1"/>
          <w:u w:color="000000" w:themeColor="text1"/>
        </w:rPr>
        <w:noBreakHyphen/>
      </w:r>
      <w:r w:rsidRPr="00907014">
        <w:rPr>
          <w:rFonts w:cs="Times New Roman"/>
          <w:color w:val="000000" w:themeColor="text1"/>
          <w:u w:color="000000" w:themeColor="text1"/>
        </w:rPr>
        <w:t>quality instruction to address learning disruptions associated with COVID</w:t>
      </w:r>
      <w:r>
        <w:rPr>
          <w:rFonts w:cs="Times New Roman"/>
          <w:color w:val="000000" w:themeColor="text1"/>
          <w:u w:color="000000" w:themeColor="text1"/>
        </w:rPr>
        <w:noBreakHyphen/>
      </w:r>
      <w:r w:rsidRPr="00907014">
        <w:rPr>
          <w:rFonts w:cs="Times New Roman"/>
          <w:color w:val="000000" w:themeColor="text1"/>
          <w:u w:color="000000" w:themeColor="text1"/>
        </w:rPr>
        <w:t>19 for the 2021</w:t>
      </w:r>
      <w:r>
        <w:rPr>
          <w:rFonts w:cs="Times New Roman"/>
          <w:color w:val="000000" w:themeColor="text1"/>
          <w:u w:color="000000" w:themeColor="text1"/>
        </w:rPr>
        <w:noBreakHyphen/>
      </w:r>
      <w:r w:rsidRPr="00907014">
        <w:rPr>
          <w:rFonts w:cs="Times New Roman"/>
          <w:color w:val="000000" w:themeColor="text1"/>
          <w:u w:color="000000" w:themeColor="text1"/>
        </w:rPr>
        <w:t>2022 School Year, school districts are prohibited from assigning a teacher to deliver instruction to students simultaneously in</w:t>
      </w:r>
      <w:r>
        <w:rPr>
          <w:rFonts w:cs="Times New Roman"/>
          <w:color w:val="000000" w:themeColor="text1"/>
          <w:u w:color="000000" w:themeColor="text1"/>
        </w:rPr>
        <w:noBreakHyphen/>
      </w:r>
      <w:r w:rsidRPr="00907014">
        <w:rPr>
          <w:rFonts w:cs="Times New Roman"/>
          <w:color w:val="000000" w:themeColor="text1"/>
          <w:u w:color="000000" w:themeColor="text1"/>
        </w:rPr>
        <w:t>person and virtually, an approach often referred to as “dual</w:t>
      </w:r>
      <w:r>
        <w:rPr>
          <w:rFonts w:cs="Times New Roman"/>
          <w:color w:val="000000" w:themeColor="text1"/>
          <w:u w:color="000000" w:themeColor="text1"/>
        </w:rPr>
        <w:noBreakHyphen/>
        <w:t>modality instruction</w:t>
      </w:r>
      <w:r w:rsidRPr="00907014">
        <w:rPr>
          <w:rFonts w:cs="Times New Roman"/>
          <w:color w:val="000000" w:themeColor="text1"/>
          <w:u w:color="000000" w:themeColor="text1"/>
        </w:rPr>
        <w:t>”</w:t>
      </w:r>
      <w:r>
        <w:rPr>
          <w:rFonts w:cs="Times New Roman"/>
          <w:color w:val="000000" w:themeColor="text1"/>
          <w:u w:color="000000" w:themeColor="text1"/>
        </w:rPr>
        <w:t>,</w:t>
      </w:r>
      <w:r w:rsidRPr="00907014">
        <w:rPr>
          <w:rFonts w:cs="Times New Roman"/>
          <w:color w:val="000000" w:themeColor="text1"/>
          <w:u w:color="000000" w:themeColor="text1"/>
        </w:rPr>
        <w:t xml:space="preserve"> unless it is reasonable and necessary due to extreme and unavoidable circumstances in order to ensure that all students have access to highly qualified instructors.</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cs="Times New Roman"/>
          <w:color w:val="000000" w:themeColor="text1"/>
          <w:u w:color="000000" w:themeColor="text1"/>
        </w:rPr>
        <w:tab/>
        <w:t>(B)</w:t>
      </w:r>
      <w:r w:rsidRPr="00907014">
        <w:rPr>
          <w:rFonts w:cs="Times New Roman"/>
          <w:color w:val="000000" w:themeColor="text1"/>
          <w:u w:color="000000" w:themeColor="text1"/>
        </w:rPr>
        <w:tab/>
        <w:t>In the event that a school district determines it is necessary for a teacher to deliver dual</w:t>
      </w:r>
      <w:r>
        <w:rPr>
          <w:rFonts w:cs="Times New Roman"/>
          <w:color w:val="000000" w:themeColor="text1"/>
          <w:u w:color="000000" w:themeColor="text1"/>
        </w:rPr>
        <w:noBreakHyphen/>
      </w:r>
      <w:r w:rsidRPr="00907014">
        <w:rPr>
          <w:rFonts w:cs="Times New Roman"/>
          <w:color w:val="000000" w:themeColor="text1"/>
          <w:u w:color="000000" w:themeColor="text1"/>
        </w:rPr>
        <w:t>modality instruction, the school district must provide additional compensation to the teacher.</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r w:rsidRPr="00907014">
        <w:rPr>
          <w:rFonts w:cs="Times New Roman"/>
          <w:color w:val="000000" w:themeColor="text1"/>
          <w:u w:color="000000" w:themeColor="text1"/>
        </w:rPr>
        <w:tab/>
        <w:t>(C)</w:t>
      </w:r>
      <w:r w:rsidRPr="00907014">
        <w:rPr>
          <w:rFonts w:cs="Times New Roman"/>
          <w:color w:val="000000" w:themeColor="text1"/>
          <w:u w:color="000000" w:themeColor="text1"/>
        </w:rPr>
        <w:tab/>
        <w:t>For any teacher assigned by a school district to dual</w:t>
      </w:r>
      <w:r>
        <w:rPr>
          <w:rFonts w:cs="Times New Roman"/>
          <w:color w:val="000000" w:themeColor="text1"/>
          <w:u w:color="000000" w:themeColor="text1"/>
        </w:rPr>
        <w:noBreakHyphen/>
      </w:r>
      <w:r w:rsidRPr="00907014">
        <w:rPr>
          <w:rFonts w:cs="Times New Roman"/>
          <w:color w:val="000000" w:themeColor="text1"/>
          <w:u w:color="000000" w:themeColor="text1"/>
        </w:rPr>
        <w:t xml:space="preserve">modality instruction, the school district must provide the State Department of Education with the name of the teacher, school where the teacher is employed, and subject area in which the teacher was hired to teach. The State Department of Education shall report the information to the General Assembly at the </w:t>
      </w:r>
      <w:r>
        <w:rPr>
          <w:rFonts w:cs="Times New Roman"/>
          <w:color w:val="000000" w:themeColor="text1"/>
          <w:u w:color="000000" w:themeColor="text1"/>
        </w:rPr>
        <w:t>completion of the school year.</w:t>
      </w: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p>
    <w:p w:rsidR="005E0F8B" w:rsidRPr="005A51BF"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b/>
          <w:color w:val="000000" w:themeColor="text1"/>
          <w:u w:color="000000" w:themeColor="text1"/>
        </w:rPr>
      </w:pPr>
      <w:r>
        <w:rPr>
          <w:rFonts w:cs="Times New Roman"/>
          <w:b/>
          <w:color w:val="000000" w:themeColor="text1"/>
          <w:u w:color="000000" w:themeColor="text1"/>
        </w:rPr>
        <w:t>Time effective</w:t>
      </w:r>
    </w:p>
    <w:p w:rsidR="005E0F8B" w:rsidRPr="00907014"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cs="Times New Roman"/>
          <w:color w:val="000000" w:themeColor="text1"/>
          <w:u w:color="000000" w:themeColor="text1"/>
        </w:rPr>
      </w:pP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07014">
        <w:rPr>
          <w:rFonts w:eastAsia="Times New Roman" w:cs="Times New Roman"/>
        </w:rPr>
        <w:t>SECTION</w:t>
      </w:r>
      <w:r w:rsidRPr="00907014">
        <w:rPr>
          <w:rFonts w:eastAsia="Times New Roman" w:cs="Times New Roman"/>
        </w:rPr>
        <w:tab/>
        <w:t>4.</w:t>
      </w:r>
      <w:r w:rsidRPr="00907014">
        <w:rPr>
          <w:rFonts w:eastAsia="Times New Roman" w:cs="Times New Roman"/>
        </w:rPr>
        <w:tab/>
        <w:t xml:space="preserve">This joint resolution takes effect upon approval by the </w:t>
      </w: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07014">
        <w:rPr>
          <w:rFonts w:eastAsia="Times New Roman" w:cs="Times New Roman"/>
        </w:rPr>
        <w:t>Governor.</w:t>
      </w: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E0F8B" w:rsidRDefault="005E0F8B"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April, 2021.</w:t>
      </w:r>
    </w:p>
    <w:p w:rsidR="005E0F8B" w:rsidRDefault="005E0F8B" w:rsidP="005E0F8B">
      <w:pPr>
        <w:jc w:val="both"/>
        <w:rPr>
          <w:color w:val="000000" w:themeColor="text1"/>
        </w:rPr>
      </w:pPr>
    </w:p>
    <w:p w:rsidR="005E0F8B" w:rsidRDefault="005E0F8B" w:rsidP="005E0F8B">
      <w:pPr>
        <w:jc w:val="both"/>
        <w:rPr>
          <w:color w:val="000000" w:themeColor="text1"/>
        </w:rPr>
      </w:pPr>
      <w:r>
        <w:rPr>
          <w:color w:val="000000" w:themeColor="text1"/>
        </w:rPr>
        <w:t>Approved the 22</w:t>
      </w:r>
      <w:r w:rsidRPr="00BD795F">
        <w:rPr>
          <w:color w:val="000000" w:themeColor="text1"/>
          <w:vertAlign w:val="superscript"/>
        </w:rPr>
        <w:t>nd</w:t>
      </w:r>
      <w:r>
        <w:rPr>
          <w:color w:val="000000" w:themeColor="text1"/>
        </w:rPr>
        <w:t xml:space="preserve"> day of April, 2021. </w:t>
      </w:r>
    </w:p>
    <w:p w:rsidR="005E0F8B" w:rsidRDefault="005E0F8B" w:rsidP="005E0F8B">
      <w:pPr>
        <w:jc w:val="center"/>
        <w:rPr>
          <w:color w:val="000000" w:themeColor="text1"/>
        </w:rPr>
      </w:pPr>
    </w:p>
    <w:p w:rsidR="005E0F8B" w:rsidRDefault="005E0F8B" w:rsidP="005E0F8B">
      <w:pPr>
        <w:jc w:val="center"/>
        <w:rPr>
          <w:color w:val="000000" w:themeColor="text1"/>
        </w:rPr>
      </w:pPr>
      <w:r>
        <w:rPr>
          <w:color w:val="000000" w:themeColor="text1"/>
        </w:rPr>
        <w:t>__________</w:t>
      </w:r>
    </w:p>
    <w:p w:rsidR="008B0DD8" w:rsidRPr="00D313B2" w:rsidRDefault="008B0DD8" w:rsidP="005E0F8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B0DD8" w:rsidRPr="00D313B2" w:rsidSect="008B0DD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70B" w:rsidRDefault="00D2370B" w:rsidP="007D5FAC">
      <w:r>
        <w:separator/>
      </w:r>
    </w:p>
  </w:endnote>
  <w:endnote w:type="continuationSeparator" w:id="0">
    <w:p w:rsidR="00D2370B" w:rsidRDefault="00D237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DD8" w:rsidRPr="008B0DD8" w:rsidRDefault="008B0DD8" w:rsidP="008B0D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E0F8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0DD8" w:rsidRDefault="008B0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70B" w:rsidRDefault="00D2370B" w:rsidP="007D5FAC">
      <w:r>
        <w:separator/>
      </w:r>
    </w:p>
  </w:footnote>
  <w:footnote w:type="continuationSeparator" w:id="0">
    <w:p w:rsidR="00D2370B" w:rsidRDefault="00D237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704"/>
    <w:docVar w:name="ActSecretary" w:val="Turner"/>
    <w:docVar w:name="ActSIdno" w:val="(31)  704WAB21"/>
    <w:docVar w:name="clipname" w:val="704WAB21"/>
    <w:docVar w:name="dvBillNumber" w:val="704"/>
    <w:docVar w:name="dvBillNumberPrefix" w:val="S"/>
    <w:docVar w:name="dvOriginalBody" w:val="Senate"/>
    <w:docVar w:name="OrigSENATEBillNo" w:val="704"/>
    <w:docVar w:name="SENATEACTFULLPATH" w:val="L:\COUNCIL\ACTS\704WAB21.DOCX"/>
    <w:docVar w:name="WhatActtype" w:val="A JOINT RESOLUTION"/>
  </w:docVars>
  <w:rsids>
    <w:rsidRoot w:val="00D2370B"/>
    <w:rsid w:val="00002DE0"/>
    <w:rsid w:val="00017F29"/>
    <w:rsid w:val="00020349"/>
    <w:rsid w:val="00021B0B"/>
    <w:rsid w:val="00030487"/>
    <w:rsid w:val="00040C05"/>
    <w:rsid w:val="0004384F"/>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1BEE"/>
    <w:rsid w:val="000A6151"/>
    <w:rsid w:val="000A6BCA"/>
    <w:rsid w:val="000B03AD"/>
    <w:rsid w:val="000B316D"/>
    <w:rsid w:val="000B36EE"/>
    <w:rsid w:val="000B3728"/>
    <w:rsid w:val="000B56CB"/>
    <w:rsid w:val="000D356E"/>
    <w:rsid w:val="000D6F51"/>
    <w:rsid w:val="000E0F0A"/>
    <w:rsid w:val="000F0C3D"/>
    <w:rsid w:val="000F4902"/>
    <w:rsid w:val="001030FE"/>
    <w:rsid w:val="001031AE"/>
    <w:rsid w:val="00103295"/>
    <w:rsid w:val="00103D2E"/>
    <w:rsid w:val="00104519"/>
    <w:rsid w:val="00106968"/>
    <w:rsid w:val="00114830"/>
    <w:rsid w:val="00114E88"/>
    <w:rsid w:val="001237B9"/>
    <w:rsid w:val="00125FC3"/>
    <w:rsid w:val="00131CE5"/>
    <w:rsid w:val="0013419D"/>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0B63"/>
    <w:rsid w:val="0031739F"/>
    <w:rsid w:val="003219FC"/>
    <w:rsid w:val="0032308E"/>
    <w:rsid w:val="0032380E"/>
    <w:rsid w:val="00325D1F"/>
    <w:rsid w:val="00327D8E"/>
    <w:rsid w:val="003348FE"/>
    <w:rsid w:val="00334EAC"/>
    <w:rsid w:val="0034356D"/>
    <w:rsid w:val="00360108"/>
    <w:rsid w:val="00360D70"/>
    <w:rsid w:val="003631BD"/>
    <w:rsid w:val="00364D3F"/>
    <w:rsid w:val="00366494"/>
    <w:rsid w:val="00370DA1"/>
    <w:rsid w:val="00372564"/>
    <w:rsid w:val="00372FF8"/>
    <w:rsid w:val="00373C67"/>
    <w:rsid w:val="003762ED"/>
    <w:rsid w:val="0038005A"/>
    <w:rsid w:val="003803CD"/>
    <w:rsid w:val="00390C55"/>
    <w:rsid w:val="00392293"/>
    <w:rsid w:val="0039655A"/>
    <w:rsid w:val="00396C58"/>
    <w:rsid w:val="003A6D96"/>
    <w:rsid w:val="003A7517"/>
    <w:rsid w:val="003B1A01"/>
    <w:rsid w:val="003B2E6E"/>
    <w:rsid w:val="003B355D"/>
    <w:rsid w:val="003B6BB7"/>
    <w:rsid w:val="003B746E"/>
    <w:rsid w:val="003C030C"/>
    <w:rsid w:val="003D2A73"/>
    <w:rsid w:val="003F6112"/>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75D43"/>
    <w:rsid w:val="005839FC"/>
    <w:rsid w:val="00583CB3"/>
    <w:rsid w:val="005859EE"/>
    <w:rsid w:val="00590D1D"/>
    <w:rsid w:val="00591D7C"/>
    <w:rsid w:val="00594D39"/>
    <w:rsid w:val="005A1FF2"/>
    <w:rsid w:val="005A286C"/>
    <w:rsid w:val="005A51BF"/>
    <w:rsid w:val="005A7D5F"/>
    <w:rsid w:val="005B2750"/>
    <w:rsid w:val="005B2DD9"/>
    <w:rsid w:val="005B3E85"/>
    <w:rsid w:val="005B4DB1"/>
    <w:rsid w:val="005C4B9E"/>
    <w:rsid w:val="005C5915"/>
    <w:rsid w:val="005D50CE"/>
    <w:rsid w:val="005D5723"/>
    <w:rsid w:val="005D6054"/>
    <w:rsid w:val="005E07AD"/>
    <w:rsid w:val="005E0F8B"/>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239C"/>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2FC"/>
    <w:rsid w:val="006C7535"/>
    <w:rsid w:val="006C7D00"/>
    <w:rsid w:val="006C7DDE"/>
    <w:rsid w:val="006F22C0"/>
    <w:rsid w:val="006F290C"/>
    <w:rsid w:val="007009F2"/>
    <w:rsid w:val="0070193C"/>
    <w:rsid w:val="00704FF9"/>
    <w:rsid w:val="007052EC"/>
    <w:rsid w:val="00707063"/>
    <w:rsid w:val="007127A6"/>
    <w:rsid w:val="00716B0A"/>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0DD8"/>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07C89"/>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25DB"/>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D63"/>
    <w:rsid w:val="00AE42DA"/>
    <w:rsid w:val="00AE4DFB"/>
    <w:rsid w:val="00AE6E1F"/>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819"/>
    <w:rsid w:val="00C23B1A"/>
    <w:rsid w:val="00C30E1C"/>
    <w:rsid w:val="00C32CDA"/>
    <w:rsid w:val="00C33284"/>
    <w:rsid w:val="00C34674"/>
    <w:rsid w:val="00C3483A"/>
    <w:rsid w:val="00C45263"/>
    <w:rsid w:val="00C46AB4"/>
    <w:rsid w:val="00C51416"/>
    <w:rsid w:val="00C55195"/>
    <w:rsid w:val="00C7071A"/>
    <w:rsid w:val="00C73A60"/>
    <w:rsid w:val="00C74282"/>
    <w:rsid w:val="00C74E9D"/>
    <w:rsid w:val="00C837F6"/>
    <w:rsid w:val="00C92B7D"/>
    <w:rsid w:val="00C92E2B"/>
    <w:rsid w:val="00C94E59"/>
    <w:rsid w:val="00C97CB8"/>
    <w:rsid w:val="00CA23B8"/>
    <w:rsid w:val="00CA4CD7"/>
    <w:rsid w:val="00CA5037"/>
    <w:rsid w:val="00CB12FE"/>
    <w:rsid w:val="00CC2825"/>
    <w:rsid w:val="00CC6756"/>
    <w:rsid w:val="00CE1407"/>
    <w:rsid w:val="00CE54EA"/>
    <w:rsid w:val="00CE5B85"/>
    <w:rsid w:val="00CF77F4"/>
    <w:rsid w:val="00D00681"/>
    <w:rsid w:val="00D04DCB"/>
    <w:rsid w:val="00D1180E"/>
    <w:rsid w:val="00D132DB"/>
    <w:rsid w:val="00D13C21"/>
    <w:rsid w:val="00D16DAA"/>
    <w:rsid w:val="00D17AD0"/>
    <w:rsid w:val="00D20F47"/>
    <w:rsid w:val="00D22CF8"/>
    <w:rsid w:val="00D2370B"/>
    <w:rsid w:val="00D244C1"/>
    <w:rsid w:val="00D24F96"/>
    <w:rsid w:val="00D25595"/>
    <w:rsid w:val="00D30850"/>
    <w:rsid w:val="00D313B2"/>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6125531-FEF4-469F-82BA-6FFAD36C9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B0D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E1D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1D63"/>
    <w:rPr>
      <w:rFonts w:ascii="Segoe UI" w:hAnsi="Segoe UI" w:cs="Segoe UI"/>
      <w:sz w:val="18"/>
      <w:szCs w:val="18"/>
    </w:rPr>
  </w:style>
  <w:style w:type="table" w:styleId="TableGrid">
    <w:name w:val="Table Grid"/>
    <w:basedOn w:val="TableNormal"/>
    <w:uiPriority w:val="59"/>
    <w:rsid w:val="00C2381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B0DD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925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sj\20210420.docx" TargetMode="External"/><Relationship Id="rId26" Type="http://schemas.openxmlformats.org/officeDocument/2006/relationships/hyperlink" Target="file:///p:\pprever\2021-22\704_20210413.docx" TargetMode="External"/><Relationship Id="rId3" Type="http://schemas.openxmlformats.org/officeDocument/2006/relationships/webSettings" Target="webSettings.xml"/><Relationship Id="rId21" Type="http://schemas.openxmlformats.org/officeDocument/2006/relationships/hyperlink" Target="file:///h:\hj\20210421.docx" TargetMode="External"/><Relationship Id="rId7" Type="http://schemas.openxmlformats.org/officeDocument/2006/relationships/hyperlink" Target="file:///h:\sj\20210330.docx" TargetMode="External"/><Relationship Id="rId12" Type="http://schemas.openxmlformats.org/officeDocument/2006/relationships/hyperlink" Target="file:///h:\hj\20210406.docx" TargetMode="External"/><Relationship Id="rId17" Type="http://schemas.openxmlformats.org/officeDocument/2006/relationships/hyperlink" Target="file:///h:\hj\20210415.docx" TargetMode="External"/><Relationship Id="rId25" Type="http://schemas.openxmlformats.org/officeDocument/2006/relationships/hyperlink" Target="file:///p:\pprever\2021-22\704_20210331.docx" TargetMode="External"/><Relationship Id="rId2" Type="http://schemas.openxmlformats.org/officeDocument/2006/relationships/settings" Target="settings.xml"/><Relationship Id="rId16" Type="http://schemas.openxmlformats.org/officeDocument/2006/relationships/hyperlink" Target="file:///h:\hj\20210414.docx" TargetMode="External"/><Relationship Id="rId20" Type="http://schemas.openxmlformats.org/officeDocument/2006/relationships/hyperlink" Target="file:///h:\sj\2021042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10325.docx" TargetMode="External"/><Relationship Id="rId11" Type="http://schemas.openxmlformats.org/officeDocument/2006/relationships/hyperlink" Target="file:///h:\hj\20210406.docx" TargetMode="External"/><Relationship Id="rId24" Type="http://schemas.openxmlformats.org/officeDocument/2006/relationships/hyperlink" Target="file:///p:\pprever\2021-22\704_20210325A.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414.docx" TargetMode="External"/><Relationship Id="rId23" Type="http://schemas.openxmlformats.org/officeDocument/2006/relationships/hyperlink" Target="file:///p:\pprever\2021-22\704_20210325.docx" TargetMode="External"/><Relationship Id="rId28" Type="http://schemas.openxmlformats.org/officeDocument/2006/relationships/hyperlink" Target="file:///p:\pprever\2021-22\704_20210420.docx" TargetMode="External"/><Relationship Id="rId10" Type="http://schemas.openxmlformats.org/officeDocument/2006/relationships/hyperlink" Target="file:///h:\sj\20210331.docx" TargetMode="External"/><Relationship Id="rId19" Type="http://schemas.openxmlformats.org/officeDocument/2006/relationships/hyperlink" Target="file:///h:\sj\2021042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10331.docx" TargetMode="External"/><Relationship Id="rId14" Type="http://schemas.openxmlformats.org/officeDocument/2006/relationships/hyperlink" Target="file:///h:\hj\20210414.docx" TargetMode="External"/><Relationship Id="rId22" Type="http://schemas.openxmlformats.org/officeDocument/2006/relationships/hyperlink" Target="http://www.scstatehouse.gov/billsearch.php?billnumbers=704&amp;session=124&amp;summary=B" TargetMode="External"/><Relationship Id="rId27" Type="http://schemas.openxmlformats.org/officeDocument/2006/relationships/hyperlink" Target="file:///p:\pprever\2021-22\704_2021041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1048</Words>
  <Characters>5686</Characters>
  <Application>Microsoft Office Word</Application>
  <DocSecurity>0</DocSecurity>
  <Lines>516</Lines>
  <Paragraphs>280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704: SCRS, earning limitations - South Carolina Legislature Online</dc:title>
  <dc:subject/>
  <dc:creator>Rebecca Turner</dc:creator>
  <cp:keywords/>
  <dc:description/>
  <cp:lastModifiedBy>Danny Crook</cp:lastModifiedBy>
  <cp:revision>2</cp:revision>
  <cp:lastPrinted>2021-04-21T15:46:00Z</cp:lastPrinted>
  <dcterms:created xsi:type="dcterms:W3CDTF">2021-07-28T15:18:00Z</dcterms:created>
  <dcterms:modified xsi:type="dcterms:W3CDTF">2021-07-28T15:18:00Z</dcterms:modified>
</cp:coreProperties>
</file>