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777" w:rsidRDefault="004126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w:t>
      </w:r>
      <w:r w:rsidR="0041266C">
        <w:t>1</w:t>
      </w:r>
      <w:r>
        <w:t>, 2022</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right" w:pos="5933"/>
        </w:tabs>
        <w:suppressAutoHyphens/>
      </w:pPr>
      <w:r>
        <w:tab/>
      </w:r>
      <w:r>
        <w:rPr>
          <w:b/>
          <w:sz w:val="36"/>
        </w:rPr>
        <w:t>S. 1034</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F129D4">
      <w:pPr>
        <w:tabs>
          <w:tab w:val="right" w:pos="5933"/>
        </w:tabs>
        <w:suppressAutoHyphens/>
      </w:pPr>
      <w:r>
        <w:t>S. Printed 3/3</w:t>
      </w:r>
      <w:r w:rsidR="0041266C">
        <w:t>1</w:t>
      </w:r>
      <w:r>
        <w:t>/22--S.</w:t>
      </w:r>
      <w:r w:rsidR="00F129D4">
        <w:tab/>
        <w:t>[SEC 4/1/22 3:23 PM]</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777" w:rsidSect="00682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End w:id="1"/>
    </w:p>
    <w:p w:rsidR="0010776B"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266C"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w:t>
      </w:r>
      <w:r w:rsidRPr="006352BA">
        <w:rPr>
          <w:color w:val="000000" w:themeColor="text1"/>
          <w:u w:color="000000" w:themeColor="text1"/>
        </w:rPr>
        <w:lastRenderedPageBreak/>
        <w:t>originating pharmacy for delivery to the patient or patient</w:t>
      </w:r>
      <w:r>
        <w:rPr>
          <w:color w:val="000000" w:themeColor="text1"/>
          <w:u w:color="000000" w:themeColor="text1"/>
        </w:rPr>
        <w:t>’</w:t>
      </w:r>
      <w:r w:rsidRPr="006352BA">
        <w:rPr>
          <w:color w:val="000000" w:themeColor="text1"/>
          <w:u w:color="000000" w:themeColor="text1"/>
        </w:rPr>
        <w:t xml:space="preserve">s agent. 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6FBF">
        <w:rPr>
          <w:color w:val="000000" w:themeColor="text1"/>
          <w:u w:color="000000" w:themeColor="text1"/>
        </w:rPr>
        <w:t>(3)</w:t>
      </w:r>
      <w:r w:rsidRPr="00F86FBF">
        <w:rPr>
          <w:color w:val="000000" w:themeColor="text1"/>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rsidR="0041266C" w:rsidRPr="00F86FBF" w:rsidRDefault="0079612A"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color w:val="000000" w:themeColor="text1"/>
          <w:u w:color="000000" w:themeColor="text1"/>
        </w:rPr>
        <w:tab/>
      </w:r>
      <w:r w:rsidRPr="00F86FBF">
        <w:rPr>
          <w:color w:val="000000" w:themeColor="text1"/>
          <w:u w:color="000000" w:themeColor="text1"/>
        </w:rPr>
        <w:tab/>
      </w:r>
      <w:r w:rsidR="0041266C" w:rsidRPr="00F86FBF">
        <w:rPr>
          <w:snapToGrid w:val="0"/>
        </w:rPr>
        <w:t>(4)</w:t>
      </w:r>
      <w:r w:rsidR="0041266C" w:rsidRPr="00F86FBF">
        <w:rPr>
          <w:snapToGrid w:val="0"/>
        </w:rPr>
        <w:tab/>
        <w:t>To the extent a pharmacy is acting as a central fill pharmacy, it may not:</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lastRenderedPageBreak/>
        <w:tab/>
      </w:r>
      <w:r w:rsidRPr="00F86FBF">
        <w:rPr>
          <w:snapToGrid w:val="0"/>
        </w:rPr>
        <w:tab/>
      </w:r>
      <w:r w:rsidRPr="00F86FBF">
        <w:rPr>
          <w:snapToGrid w:val="0"/>
        </w:rPr>
        <w:tab/>
      </w:r>
      <w:r w:rsidRPr="00F86FBF">
        <w:rPr>
          <w:snapToGrid w:val="0"/>
        </w:rPr>
        <w:tab/>
        <w:t>(a)</w:t>
      </w:r>
      <w:r w:rsidRPr="00F86FBF">
        <w:rPr>
          <w:snapToGrid w:val="0"/>
        </w:rPr>
        <w:tab/>
        <w:t>fill prescriptions for controlled substances listed in Schedule II;</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(b)</w:t>
      </w:r>
      <w:r w:rsidRPr="00F86FBF">
        <w:rPr>
          <w:snapToGrid w:val="0"/>
        </w:rPr>
        <w:tab/>
        <w:t>fill prescriptions provided directly by a patient or an individual practitioner;</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(c)</w:t>
      </w:r>
      <w:r w:rsidRPr="00F86FBF">
        <w:rPr>
          <w:snapToGrid w:val="0"/>
        </w:rPr>
        <w:tab/>
        <w:t>mail or otherwise deliver a prescription directly to a patient or an individual practitioner; or</w:t>
      </w:r>
    </w:p>
    <w:p w:rsidR="0079612A"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snapToGrid w:val="0"/>
        </w:rPr>
        <w:tab/>
      </w:r>
      <w:r w:rsidRPr="00F86FBF">
        <w:rPr>
          <w:snapToGrid w:val="0"/>
        </w:rPr>
        <w:tab/>
      </w:r>
      <w:r w:rsidRPr="00F86FBF">
        <w:rPr>
          <w:snapToGrid w:val="0"/>
        </w:rPr>
        <w:tab/>
      </w:r>
      <w:r w:rsidRPr="00F86FBF">
        <w:rPr>
          <w:snapToGrid w:val="0"/>
        </w:rPr>
        <w:tab/>
        <w:t>(d)</w:t>
      </w:r>
      <w:r w:rsidRPr="00F86FBF">
        <w:rPr>
          <w:snapToGrid w:val="0"/>
        </w:rPr>
        <w:tab/>
        <w:t>provide or dispense cannabis products not approved by the Federal Drug Administration.</w:t>
      </w:r>
      <w:r w:rsidRPr="00F86FBF">
        <w:rPr>
          <w:snapToGrid w:val="0"/>
        </w:rPr>
        <w:tab/>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(C)(1)</w:t>
      </w:r>
      <w:r w:rsidRPr="00F86FBF">
        <w:rPr>
          <w:color w:val="000000" w:themeColor="text1"/>
          <w:u w:color="000000" w:themeColor="text1"/>
        </w:rPr>
        <w:tab/>
        <w:t>An originating pharmacy that outsources prescription filling to a central fill pharmacy must, prior to outsourcing the prescription:</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notify patients that their prescription may be filled by another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Patient notification may be provided through a one</w:t>
      </w:r>
      <w:r w:rsidRPr="00F86FBF">
        <w:rPr>
          <w:color w:val="000000" w:themeColor="text1"/>
          <w:u w:color="000000" w:themeColor="text1"/>
        </w:rPr>
        <w:noBreakHyphen/>
        <w:t>time written notice to the patient or through use of a sign in the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(D)(1)</w:t>
      </w:r>
      <w:r w:rsidRPr="00F86FBF">
        <w:rPr>
          <w:color w:val="000000" w:themeColor="text1"/>
          <w:u w:color="000000" w:themeColor="text1"/>
        </w:rPr>
        <w:tab/>
        <w:t>A central fill pharmacy must provide written information regarding the prescription with the filled prescription and a toll</w:t>
      </w:r>
      <w:r w:rsidRPr="00F86FBF">
        <w:rPr>
          <w:color w:val="000000" w:themeColor="text1"/>
          <w:u w:color="000000" w:themeColor="text1"/>
        </w:rPr>
        <w:noBreakHyphen/>
        <w:t>free phone number for patient questions. The following statement must be provided with the prescription before delivery to the patient: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pharmacist at the originating pharmacy shall offer the patient or the patient’s agent information about the prescription drug or device in accordance with Section 40</w:t>
      </w:r>
      <w:r w:rsidRPr="00F86FBF">
        <w:rPr>
          <w:color w:val="000000" w:themeColor="text1"/>
          <w:u w:color="000000" w:themeColor="text1"/>
        </w:rPr>
        <w:noBreakHyphen/>
        <w:t>43</w:t>
      </w:r>
      <w:r w:rsidRPr="00F86FBF">
        <w:rPr>
          <w:color w:val="000000" w:themeColor="text1"/>
          <w:u w:color="000000" w:themeColor="text1"/>
        </w:rPr>
        <w:noBreakHyphen/>
        <w:t>86(L).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(3)</w:t>
      </w:r>
      <w:r w:rsidRPr="00F86FBF">
        <w:rPr>
          <w:color w:val="000000" w:themeColor="text1"/>
          <w:u w:color="000000" w:themeColor="text1"/>
        </w:rPr>
        <w:tab/>
        <w:t>This subsection does not apply to patients in facilities including, but not limited to, hospitals or nursing homes, where drugs are administered to patients by a person authorized to do so by law.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(E)</w:t>
      </w:r>
      <w:r w:rsidRPr="00F86FBF">
        <w:rPr>
          <w:color w:val="000000" w:themeColor="text1"/>
          <w:u w:color="000000" w:themeColor="text1"/>
        </w:rPr>
        <w:tab/>
        <w:t>The central fill pharmacy must: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place on the prescription label: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name and address or name and pharmacy license number of the pharmacy filling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and address of the originating pharmacy which receives the filled prescription for delivery to the patient or the patient’s agent;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in some manner indicate which pharmacy filled the prescription (e.g., ‘Filled by ABC Pharmacy for XYZ Pharmacy’);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comply with all other labeling requirements of federal and state law including, but not limited to, Section 40</w:t>
      </w:r>
      <w:r w:rsidRPr="00F86FBF">
        <w:rPr>
          <w:color w:val="000000" w:themeColor="text1"/>
          <w:u w:color="000000" w:themeColor="text1"/>
        </w:rPr>
        <w:noBreakHyphen/>
        <w:t>43</w:t>
      </w:r>
      <w:r w:rsidRPr="00F86FBF">
        <w:rPr>
          <w:color w:val="000000" w:themeColor="text1"/>
          <w:u w:color="000000" w:themeColor="text1"/>
        </w:rPr>
        <w:noBreakHyphen/>
        <w:t>86.</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(F)</w:t>
      </w:r>
      <w:r w:rsidRPr="00F86FBF">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An outline of the responsibilities of the central fill pharmacy and the originating pharmacy including, but not limited to:</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patient notification of central fill processing;</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confidentiality and integrity of patient information procedures;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drug utilization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record</w:t>
      </w:r>
      <w:r w:rsidR="0059389E" w:rsidRPr="00F86FBF">
        <w:rPr>
          <w:color w:val="000000" w:themeColor="text1"/>
          <w:u w:color="000000" w:themeColor="text1"/>
        </w:rPr>
        <w:t xml:space="preserve"> </w:t>
      </w:r>
      <w:r w:rsidRPr="00F86FBF">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counseling responsibilities;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(f)</w:t>
      </w:r>
      <w:r w:rsidRPr="00F86FBF">
        <w:rPr>
          <w:color w:val="000000" w:themeColor="text1"/>
          <w:u w:color="000000" w:themeColor="text1"/>
        </w:rPr>
        <w:tab/>
        <w:t>procedures for return of prescriptions not delivered to a patient and procedures for invoicing medication transfers;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(g)</w:t>
      </w:r>
      <w:r w:rsidRPr="00F86FBF">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(h)</w:t>
      </w:r>
      <w:r w:rsidRPr="00F86FBF">
        <w:rPr>
          <w:color w:val="000000" w:themeColor="text1"/>
          <w:u w:color="000000" w:themeColor="text1"/>
        </w:rPr>
        <w:tab/>
        <w:t>safe delivery of prescriptions to patients;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(i) </w:t>
      </w:r>
      <w:r w:rsidRPr="00F86FBF">
        <w:rPr>
          <w:color w:val="000000" w:themeColor="text1"/>
          <w:u w:color="000000" w:themeColor="text1"/>
        </w:rPr>
        <w:tab/>
        <w:t>processes to ensure stability and potency of medication;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(j) </w:t>
      </w:r>
      <w:r w:rsidRPr="00F86FBF">
        <w:rPr>
          <w:color w:val="000000" w:themeColor="text1"/>
          <w:u w:color="000000" w:themeColor="text1"/>
        </w:rPr>
        <w:tab/>
        <w:t>requirements for storage and shipment of prescription medication;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(k)</w:t>
      </w:r>
      <w:r w:rsidRPr="00F86FBF">
        <w:rPr>
          <w:color w:val="000000" w:themeColor="text1"/>
          <w:u w:color="000000" w:themeColor="text1"/>
        </w:rPr>
        <w:tab/>
        <w:t>procedures for conducting an annual review of written policies and procedures and for documentation of this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(G)(1)</w:t>
      </w:r>
      <w:r w:rsidRPr="00F86FBF">
        <w:rPr>
          <w:color w:val="000000" w:themeColor="text1"/>
          <w:u w:color="000000" w:themeColor="text1"/>
        </w:rPr>
        <w:tab/>
        <w:t>Records may be maintained in an alternative data retention system including, but not limited to, a data processing system or direct imaging system, if:</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records maintained in the alternative system contain all of the information required on the manual record;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(2)</w:t>
      </w:r>
      <w:r w:rsidRPr="00F86FBF">
        <w:rPr>
          <w:color w:val="000000" w:themeColor="text1"/>
          <w:u w:color="000000" w:themeColor="text1"/>
        </w:rPr>
        <w:tab/>
        <w:t>Each pharmacy must maintain records in accordance with the provisions of Section 40</w:t>
      </w:r>
      <w:r w:rsidRPr="00F86FBF">
        <w:rPr>
          <w:color w:val="000000" w:themeColor="text1"/>
          <w:u w:color="000000" w:themeColor="text1"/>
        </w:rPr>
        <w:noBreakHyphen/>
        <w:t>43</w:t>
      </w:r>
      <w:r w:rsidRPr="00F86FBF">
        <w:rPr>
          <w:color w:val="000000" w:themeColor="text1"/>
          <w:u w:color="000000" w:themeColor="text1"/>
        </w:rPr>
        <w:noBreakHyphen/>
        <w:t>86 and must be able to produce records as requested by the board.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(3)</w:t>
      </w:r>
      <w:r w:rsidRPr="00F86FBF">
        <w:rPr>
          <w:color w:val="000000" w:themeColor="text1"/>
          <w:u w:color="000000" w:themeColor="text1"/>
        </w:rPr>
        <w:tab/>
        <w:t>The originating pharmacy records must include the date the request for filling was transmitted to the central fill pharmacy</w:t>
      </w:r>
      <w:r w:rsidR="00A67E3B">
        <w:rPr>
          <w:color w:val="000000" w:themeColor="text1"/>
          <w:u w:color="000000" w:themeColor="text1"/>
        </w:rPr>
        <w: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(4)</w:t>
      </w:r>
      <w:r w:rsidRPr="00F86FBF">
        <w:rPr>
          <w:color w:val="000000" w:themeColor="text1"/>
          <w:u w:color="000000" w:themeColor="text1"/>
        </w:rPr>
        <w:tab/>
        <w:t>The central fill pharmacy records must include:</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the date the filled prescription was mailed by the central fill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the name and address to which the filled prescription was shipped.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(H)(1)</w:t>
      </w:r>
      <w:r w:rsidRPr="00F86FBF">
        <w:rPr>
          <w:color w:val="000000" w:themeColor="text1"/>
          <w:u w:color="000000" w:themeColor="text1"/>
        </w:rPr>
        <w:tab/>
        <w:t>A central fill pharmacy must complete a central fill pharmacy permit application provided by the board, following the procedures as specified in Section 40</w:t>
      </w:r>
      <w:r w:rsidRPr="00F86FBF">
        <w:rPr>
          <w:color w:val="000000" w:themeColor="text1"/>
          <w:u w:color="000000" w:themeColor="text1"/>
        </w:rPr>
        <w:noBreakHyphen/>
        <w:t>43</w:t>
      </w:r>
      <w:r w:rsidRPr="00F86FBF">
        <w:rPr>
          <w:color w:val="000000" w:themeColor="text1"/>
          <w:u w:color="000000" w:themeColor="text1"/>
        </w:rPr>
        <w:noBreakHyphen/>
        <w:t>83, and also provide the following information: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evidence that the applicant holds a pharmacy license, registration, or permit issued by the state in which the pharmacy is located;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of the owner, permit holder, and pharmacist</w:t>
      </w:r>
      <w:r w:rsidRPr="00F86FBF">
        <w:rPr>
          <w:color w:val="000000" w:themeColor="text1"/>
          <w:u w:color="000000" w:themeColor="text1"/>
        </w:rPr>
        <w:noBreakHyphen/>
        <w:t>in</w:t>
      </w:r>
      <w:r w:rsidRPr="00F86FBF">
        <w:rPr>
          <w:color w:val="000000" w:themeColor="text1"/>
          <w:u w:color="000000" w:themeColor="text1"/>
        </w:rPr>
        <w:noBreakHyphen/>
        <w:t>charge of the pharmacy for service of process;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evidence of the applicant’s ability to provide to the board a record of a prescription drug order dispensed by the applicant to a resident of this State not later than seventy</w:t>
      </w:r>
      <w:r w:rsidRPr="00F86FBF">
        <w:rPr>
          <w:color w:val="000000" w:themeColor="text1"/>
          <w:u w:color="000000" w:themeColor="text1"/>
        </w:rPr>
        <w:noBreakHyphen/>
        <w:t>two hours after the time the board requests the record;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an affidavit by the pharmacist</w:t>
      </w:r>
      <w:r w:rsidRPr="00F86FBF">
        <w:rPr>
          <w:color w:val="000000" w:themeColor="text1"/>
          <w:u w:color="000000" w:themeColor="text1"/>
        </w:rPr>
        <w:noBreakHyphen/>
        <w:t>in</w:t>
      </w:r>
      <w:r w:rsidRPr="00F86FBF">
        <w:rPr>
          <w:color w:val="000000" w:themeColor="text1"/>
          <w:u w:color="000000" w:themeColor="text1"/>
        </w:rPr>
        <w:noBreakHyphen/>
        <w:t xml:space="preserve">charge which states that the pharmacist has read and understands the laws and regulations relating to </w:t>
      </w:r>
      <w:r w:rsidR="0059389E" w:rsidRPr="00F86FBF">
        <w:rPr>
          <w:color w:val="000000" w:themeColor="text1"/>
          <w:u w:color="000000" w:themeColor="text1"/>
        </w:rPr>
        <w:t xml:space="preserve">a </w:t>
      </w:r>
      <w:r w:rsidRPr="00F86FBF">
        <w:rPr>
          <w:color w:val="000000" w:themeColor="text1"/>
          <w:u w:color="000000" w:themeColor="text1"/>
        </w:rPr>
        <w:t>central fill pharmacy in this State;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pay the required fee as set by the board through regulation.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central fill pharmacy must comply with all provisions of this chapter.</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(I)</w:t>
      </w:r>
      <w:r w:rsidRPr="00F86FBF">
        <w:rPr>
          <w:color w:val="000000" w:themeColor="text1"/>
          <w:u w:color="000000" w:themeColor="text1"/>
        </w:rPr>
        <w:tab/>
        <w:t>Nothing in this section may be construed to circumvent any requirement of Section 40</w:t>
      </w:r>
      <w:r w:rsidRPr="00F86FBF">
        <w:rPr>
          <w:color w:val="000000" w:themeColor="text1"/>
          <w:u w:color="000000" w:themeColor="text1"/>
        </w:rPr>
        <w:noBreakHyphen/>
        <w:t>43</w:t>
      </w:r>
      <w:r w:rsidRPr="00F86FBF">
        <w:rPr>
          <w:color w:val="000000" w:themeColor="text1"/>
          <w:u w:color="000000" w:themeColor="text1"/>
        </w:rPr>
        <w:noBreakHyphen/>
        <w:t xml:space="preserve">86 of the South </w:t>
      </w:r>
      <w:r w:rsidR="0041266C" w:rsidRPr="00F86FBF">
        <w:rPr>
          <w:color w:val="000000" w:themeColor="text1"/>
          <w:u w:color="000000" w:themeColor="text1"/>
        </w:rPr>
        <w:t>Carolina Pharmacy Practice Act.</w:t>
      </w:r>
    </w:p>
    <w:p w:rsidR="0041266C" w:rsidRDefault="0041266C"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6FBF">
        <w:rPr>
          <w:color w:val="000000" w:themeColor="text1"/>
          <w:u w:color="000000" w:themeColor="text1"/>
        </w:rPr>
        <w:tab/>
      </w:r>
      <w:r w:rsidRPr="00F86FBF">
        <w:rPr>
          <w:snapToGrid w:val="0"/>
        </w:rPr>
        <w:t>(J)</w:t>
      </w:r>
      <w:r w:rsidRPr="00F86FBF">
        <w:rPr>
          <w:snapToGrid w:val="0"/>
        </w:rPr>
        <w:tab/>
        <w:t xml:space="preserve">A central fill pharmacy may not contact a patient for whom it has provided central fill services on behalf of an originating pharmacy for the purpose of soliciting or requesting to refill a prescription, or to fill a new prescription, for a period of five years </w:t>
      </w:r>
      <w:r w:rsidRPr="00F86FBF">
        <w:rPr>
          <w:snapToGrid w:val="0"/>
        </w:rPr>
        <w:lastRenderedPageBreak/>
        <w:t>after the originating pharmacy has stopping using the services of the central fill pharmacy.”</w:t>
      </w:r>
      <w:r w:rsidRPr="00F86FBF">
        <w:rPr>
          <w:snapToGrid w:val="0"/>
        </w:rPr>
        <w:tab/>
      </w:r>
    </w:p>
    <w:p w:rsidR="00034D53" w:rsidRPr="00F86FBF" w:rsidRDefault="00034D53"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129"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FBF">
        <w:rPr>
          <w:color w:val="000000" w:themeColor="text1"/>
          <w:u w:color="000000" w:themeColor="text1"/>
        </w:rPr>
        <w:t>SECTION</w:t>
      </w:r>
      <w:r w:rsidRPr="00F86FBF">
        <w:rPr>
          <w:color w:val="000000" w:themeColor="text1"/>
          <w:u w:color="000000" w:themeColor="text1"/>
        </w:rPr>
        <w:tab/>
        <w:t>2.</w:t>
      </w:r>
      <w:r w:rsidRPr="00F86FBF">
        <w:rPr>
          <w:color w:val="000000" w:themeColor="text1"/>
          <w:u w:color="000000" w:themeColor="text1"/>
        </w:rPr>
        <w:tab/>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6FBF">
        <w:noBreakHyphen/>
      </w:r>
      <w:r w:rsidRPr="00F86FBF">
        <w:noBreakHyphen/>
      </w:r>
      <w:r w:rsidRPr="00F86FBF">
        <w:noBreakHyphen/>
      </w:r>
      <w:r w:rsidRPr="00F86FBF">
        <w:noBreakHyphen/>
      </w:r>
      <w:r w:rsidR="0010776B" w:rsidRPr="00F86FBF">
        <w:t>XX</w:t>
      </w:r>
      <w:r w:rsidRPr="00F86FBF">
        <w:noBreakHyphen/>
      </w:r>
      <w:r w:rsidRPr="00F86FBF">
        <w:noBreakHyphen/>
      </w:r>
      <w:r w:rsidRPr="00F86FBF">
        <w:noBreakHyphen/>
      </w:r>
      <w:r w:rsidRPr="00F86FBF">
        <w:noBreakHyphen/>
      </w:r>
      <w:r w:rsidR="00EE4844">
        <w:t>sav</w:t>
      </w:r>
    </w:p>
    <w:p w:rsidR="00C061F2" w:rsidRDefault="00C061F2" w:rsidP="00C061F2">
      <w:pPr>
        <w:suppressAutoHyphens/>
      </w:pPr>
    </w:p>
    <w:sectPr w:rsidR="00C061F2" w:rsidSect="00682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7BFBA4-F894-49AE-9FE2-FD495D0EB3B1}"/>
    <w:embedBold r:id="rId2" w:fontKey="{28606A00-BC7E-420C-A40E-195E04D7A334}"/>
  </w:font>
  <w:font w:name="Calibri">
    <w:panose1 w:val="020F0502020204030204"/>
    <w:charset w:val="00"/>
    <w:family w:val="swiss"/>
    <w:pitch w:val="variable"/>
    <w:sig w:usb0="E4002EFF" w:usb1="C000247B" w:usb2="00000009" w:usb3="00000000" w:csb0="000001FF" w:csb1="00000000"/>
    <w:embedRegular r:id="rId3" w:fontKey="{9925F251-F996-446C-9B49-69B0B8268C66}"/>
  </w:font>
  <w:font w:name="Segoe UI">
    <w:panose1 w:val="020B0502040204020203"/>
    <w:charset w:val="00"/>
    <w:family w:val="swiss"/>
    <w:pitch w:val="variable"/>
    <w:sig w:usb0="E4002EFF" w:usb1="C000E47F" w:usb2="00000009" w:usb3="00000000" w:csb0="000001FF" w:csb1="00000000"/>
    <w:embedRegular r:id="rId4" w:fontKey="{B2524553-D676-4B47-9863-D504AD82E350}"/>
  </w:font>
  <w:font w:name="Cambria">
    <w:panose1 w:val="02040503050406030204"/>
    <w:charset w:val="00"/>
    <w:family w:val="roman"/>
    <w:pitch w:val="variable"/>
    <w:sig w:usb0="E00006FF" w:usb1="420024FF" w:usb2="02000000" w:usb3="00000000" w:csb0="0000019F" w:csb1="00000000"/>
    <w:embedRegular r:id="rId5" w:fontKey="{85947200-427D-439C-8496-89B5B638E7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rsidR="00682777">
      <w:t>-</w:t>
    </w:r>
    <w:r w:rsidR="00682777">
      <w:fldChar w:fldCharType="begin"/>
    </w:r>
    <w:r w:rsidR="00682777">
      <w:instrText xml:space="preserve"> PAGE  \* MERGEFORMAT </w:instrText>
    </w:r>
    <w:r w:rsidR="00682777">
      <w:fldChar w:fldCharType="separate"/>
    </w:r>
    <w:r w:rsidR="00A67E3B">
      <w:rPr>
        <w:noProof/>
      </w:rPr>
      <w:t>1</w:t>
    </w:r>
    <w:r w:rsidR="00682777">
      <w:fldChar w:fldCharType="end"/>
    </w:r>
    <w:r w:rsidR="00682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77" w:rsidRPr="0059267A" w:rsidRDefault="0068277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C061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34D53"/>
    <w:rsid w:val="000965A1"/>
    <w:rsid w:val="000C487D"/>
    <w:rsid w:val="000E1785"/>
    <w:rsid w:val="000F39F2"/>
    <w:rsid w:val="001023A4"/>
    <w:rsid w:val="0010776B"/>
    <w:rsid w:val="00133E66"/>
    <w:rsid w:val="00134ACF"/>
    <w:rsid w:val="00144E15"/>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7A6"/>
    <w:rsid w:val="00393688"/>
    <w:rsid w:val="003D411E"/>
    <w:rsid w:val="003E3C1E"/>
    <w:rsid w:val="003E6148"/>
    <w:rsid w:val="003E7D04"/>
    <w:rsid w:val="00400EAA"/>
    <w:rsid w:val="0041266C"/>
    <w:rsid w:val="0041760A"/>
    <w:rsid w:val="004203D7"/>
    <w:rsid w:val="00423F46"/>
    <w:rsid w:val="00461588"/>
    <w:rsid w:val="004809EE"/>
    <w:rsid w:val="004B2A8B"/>
    <w:rsid w:val="00511EE9"/>
    <w:rsid w:val="00521E00"/>
    <w:rsid w:val="00577C6C"/>
    <w:rsid w:val="0058501B"/>
    <w:rsid w:val="0059267A"/>
    <w:rsid w:val="0059389E"/>
    <w:rsid w:val="005C5AC4"/>
    <w:rsid w:val="0061228A"/>
    <w:rsid w:val="006215AA"/>
    <w:rsid w:val="006340D9"/>
    <w:rsid w:val="00643B8E"/>
    <w:rsid w:val="00653ECC"/>
    <w:rsid w:val="00665EBC"/>
    <w:rsid w:val="00680479"/>
    <w:rsid w:val="00682777"/>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32670"/>
    <w:rsid w:val="009352BB"/>
    <w:rsid w:val="00990668"/>
    <w:rsid w:val="009B397B"/>
    <w:rsid w:val="009F0C77"/>
    <w:rsid w:val="009F4DD1"/>
    <w:rsid w:val="00A64E80"/>
    <w:rsid w:val="00A67E3B"/>
    <w:rsid w:val="00A741D9"/>
    <w:rsid w:val="00A85589"/>
    <w:rsid w:val="00A9741D"/>
    <w:rsid w:val="00AB0576"/>
    <w:rsid w:val="00AD4B17"/>
    <w:rsid w:val="00B26FA6"/>
    <w:rsid w:val="00B741CB"/>
    <w:rsid w:val="00B87AF8"/>
    <w:rsid w:val="00B934F3"/>
    <w:rsid w:val="00BB6347"/>
    <w:rsid w:val="00BD2134"/>
    <w:rsid w:val="00C038D8"/>
    <w:rsid w:val="00C045DD"/>
    <w:rsid w:val="00C061F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4844"/>
    <w:rsid w:val="00EF3EEE"/>
    <w:rsid w:val="00F129D4"/>
    <w:rsid w:val="00F149A7"/>
    <w:rsid w:val="00F50BAF"/>
    <w:rsid w:val="00F52C10"/>
    <w:rsid w:val="00F81FFD"/>
    <w:rsid w:val="00F85228"/>
    <w:rsid w:val="00F86FBF"/>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4F450"/>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0A733-FC67-4871-AB59-D7672404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1643</Words>
  <Characters>8993</Characters>
  <Application>Microsoft Office Word</Application>
  <DocSecurity>0</DocSecurity>
  <Lines>231</Lines>
  <Paragraphs>76</Paragraphs>
  <ScaleCrop>false</ScaleCrop>
  <HeadingPairs>
    <vt:vector size="2" baseType="variant">
      <vt:variant>
        <vt:lpstr>Title</vt:lpstr>
      </vt:variant>
      <vt:variant>
        <vt:i4>1</vt:i4>
      </vt:variant>
    </vt:vector>
  </HeadingPairs>
  <TitlesOfParts>
    <vt:vector size="1" baseType="lpstr">
      <vt:lpstr>2021-2022 Bill 1034 Text of Previous Version (Feb. 1, 2022) - South Carolina Legislature Online</vt:lpstr>
    </vt:vector>
  </TitlesOfParts>
  <Company> </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(Apr. 1, 2022) - South Carolina Legislature Online</dc:title>
  <dc:subject/>
  <dc:creator>Julie Newboult</dc:creator>
  <cp:keywords/>
  <dc:description/>
  <cp:lastModifiedBy>Danny Crook</cp:lastModifiedBy>
  <cp:revision>2</cp:revision>
  <cp:lastPrinted>2022-01-27T18:14:00Z</cp:lastPrinted>
  <dcterms:created xsi:type="dcterms:W3CDTF">2022-04-01T19:27:00Z</dcterms:created>
  <dcterms:modified xsi:type="dcterms:W3CDTF">2022-04-01T19:27:00Z</dcterms:modified>
</cp:coreProperties>
</file>