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30D"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4A0C" w:rsidRP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Pr="00E34A0C" w:rsidRDefault="00E34A0C" w:rsidP="00E34A0C">
      <w:pPr>
        <w:tabs>
          <w:tab w:val="right" w:pos="5933"/>
        </w:tabs>
        <w:suppressAutoHyphens/>
      </w:pPr>
      <w:r>
        <w:tab/>
      </w:r>
      <w:r>
        <w:rPr>
          <w:b/>
          <w:sz w:val="36"/>
        </w:rPr>
        <w:t>S. 1087</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Kimbrell, Shealy, Turner, Climer, M. Johnson, Martin, Corbin, Davis, Massey, Rice, Adams, Garrett, Cash, Young, Malloy, Williams, Loftis, Gambrell, Talley, Cromer, Scott, Jackson, Stephens, Campsen, Verdin, Grooms, McElveen and Gustafson</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E34A0C" w:rsidRPr="00E34A0C" w:rsidRDefault="00E34A0C" w:rsidP="00E34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0C" w:rsidRDefault="00E34A0C"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A0C" w:rsidSect="002007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3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8A2">
        <w:rPr>
          <w:color w:val="000000" w:themeColor="text1"/>
          <w:u w:color="000000" w:themeColor="text1"/>
        </w:rPr>
        <w:t>TO AMEND THE CODE OF LAWS OF SOUTH CAROLINA,</w:t>
      </w:r>
      <w:r>
        <w:rPr>
          <w:color w:val="000000" w:themeColor="text1"/>
          <w:u w:color="000000" w:themeColor="text1"/>
        </w:rPr>
        <w:t xml:space="preserve"> 1976,</w:t>
      </w:r>
      <w:r w:rsidRPr="005178A2">
        <w:rPr>
          <w:color w:val="000000" w:themeColor="text1"/>
          <w:u w:color="000000" w:themeColor="text1"/>
        </w:rPr>
        <w:t xml:space="preserve"> SO</w:t>
      </w:r>
      <w:r w:rsidR="008E2DFF">
        <w:rPr>
          <w:color w:val="000000" w:themeColor="text1"/>
          <w:u w:color="000000" w:themeColor="text1"/>
        </w:rPr>
        <w:t xml:space="preserve"> AS</w:t>
      </w:r>
      <w:r w:rsidRPr="005178A2">
        <w:rPr>
          <w:color w:val="000000" w:themeColor="text1"/>
          <w:u w:color="000000" w:themeColor="text1"/>
        </w:rPr>
        <w:t xml:space="preserve"> TO ENACT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00EE0251">
        <w:rPr>
          <w:color w:val="000000" w:themeColor="text1"/>
          <w:u w:color="000000" w:themeColor="text1"/>
        </w:rPr>
        <w:t>;</w:t>
      </w:r>
      <w:r w:rsidR="008E2DFF">
        <w:rPr>
          <w:color w:val="000000" w:themeColor="text1"/>
          <w:u w:color="000000" w:themeColor="text1"/>
        </w:rPr>
        <w:t xml:space="preserve"> TO</w:t>
      </w:r>
      <w:r w:rsidRPr="005178A2">
        <w:rPr>
          <w:color w:val="000000" w:themeColor="text1"/>
          <w:u w:color="000000" w:themeColor="text1"/>
        </w:rPr>
        <w:t xml:space="preserve">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RELATING TO THE INDIVIDUAL INCOME TAX, SO AS TO RED</w:t>
      </w:r>
      <w:r w:rsidR="00193A94">
        <w:rPr>
          <w:color w:val="000000" w:themeColor="text1"/>
          <w:u w:color="000000" w:themeColor="text1"/>
        </w:rPr>
        <w:t>UCE THE TOP MARGINAL RATE TO 5.7</w:t>
      </w:r>
      <w:r w:rsidRPr="005178A2">
        <w:rPr>
          <w:color w:val="000000" w:themeColor="text1"/>
          <w:u w:color="000000" w:themeColor="text1"/>
        </w:rPr>
        <w:t xml:space="preserve"> PERCENT; TO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 RELATING TO THE MILITARY RETIREMENT DEDUCTION, SO AS TO EXEMPT ALL MILITARY RETIREMENT INCOME; TO AMEND 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220, AS AMENDED, RELATING TO PROPERTY TAX EXEMPTIONS, SO AS TO INCREASE A PROPERTY TAX EXEMPTION FOR CERTAIN MANUFACTURING PROPERTY; TO APPROPRIATE ONE BILLION DOLLARS FROM THE CONTINGENCY RESERVE FUND TO THE TAXPAYER REBATE FUND TO PROVIDE REBATES TO TAXPAYERS; AND TO REPEAL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515 RELATING TO AN ARCHAIC </w:t>
      </w:r>
      <w:r>
        <w:rPr>
          <w:color w:val="000000" w:themeColor="text1"/>
          <w:u w:color="000000" w:themeColor="text1"/>
        </w:rPr>
        <w:t>INDIVIDUAL INCOME TAX PROVISION.</w:t>
      </w:r>
      <w:bookmarkEnd w:id="1"/>
    </w:p>
    <w:p w:rsidR="007B2B71" w:rsidRDefault="0008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5E13" w:rsidRDefault="0008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SECTION</w:t>
      </w:r>
      <w:r w:rsidRPr="003E04B8">
        <w:rPr>
          <w:u w:color="000000" w:themeColor="text1"/>
        </w:rPr>
        <w:tab/>
        <w:t>1.</w:t>
      </w:r>
      <w:r w:rsidRPr="003E04B8">
        <w:rPr>
          <w:u w:color="000000" w:themeColor="text1"/>
        </w:rPr>
        <w:tab/>
        <w:t>Section 12</w:t>
      </w:r>
      <w:r w:rsidRPr="003E04B8">
        <w:rPr>
          <w:u w:color="000000" w:themeColor="text1"/>
        </w:rPr>
        <w:noBreakHyphen/>
        <w:t>6</w:t>
      </w:r>
      <w:r w:rsidRPr="003E04B8">
        <w:rPr>
          <w:u w:color="000000" w:themeColor="text1"/>
        </w:rPr>
        <w:noBreakHyphen/>
        <w:t>510 of the 1976 Code is amended to read:</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ab/>
        <w:t>“Section 12</w:t>
      </w:r>
      <w:r w:rsidRPr="003E04B8">
        <w:rPr>
          <w:u w:color="000000" w:themeColor="text1"/>
        </w:rPr>
        <w:noBreakHyphen/>
        <w:t>6</w:t>
      </w:r>
      <w:r w:rsidRPr="003E04B8">
        <w:rPr>
          <w:u w:color="000000" w:themeColor="text1"/>
        </w:rPr>
        <w:noBreakHyphen/>
        <w:t>510.</w:t>
      </w:r>
      <w:r w:rsidRPr="003E04B8">
        <w:rPr>
          <w:u w:color="000000" w:themeColor="text1"/>
        </w:rPr>
        <w:tab/>
        <w:t>(A)</w:t>
      </w:r>
      <w:r w:rsidRPr="003E04B8">
        <w:rPr>
          <w:u w:color="000000" w:themeColor="text1"/>
        </w:rPr>
        <w:tab/>
      </w:r>
      <w:r w:rsidRPr="003E04B8">
        <w:rPr>
          <w:u w:val="single" w:color="000000" w:themeColor="text1"/>
        </w:rPr>
        <w:t>Subject to the provisions of subsection (B),</w:t>
      </w:r>
      <w:r w:rsidRPr="003E04B8">
        <w:rPr>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3E04B8">
        <w:rPr>
          <w:u w:color="000000" w:themeColor="text1"/>
        </w:rPr>
        <w:noBreakHyphen/>
        <w:t>6</w:t>
      </w:r>
      <w:r w:rsidRPr="003E04B8">
        <w:rPr>
          <w:u w:color="000000" w:themeColor="text1"/>
        </w:rPr>
        <w:noBreakHyphen/>
        <w:t>530 through 12</w:t>
      </w:r>
      <w:r w:rsidRPr="003E04B8">
        <w:rPr>
          <w:u w:color="000000" w:themeColor="text1"/>
        </w:rPr>
        <w:noBreakHyphen/>
        <w:t>6</w:t>
      </w:r>
      <w:r w:rsidRPr="003E04B8">
        <w:rPr>
          <w:u w:color="000000" w:themeColor="text1"/>
        </w:rPr>
        <w:noBreakHyphen/>
        <w:t>550 computed at the following rates with the income brackets indexed in accordance with Section 12</w:t>
      </w:r>
      <w:r w:rsidRPr="003E04B8">
        <w:rPr>
          <w:u w:color="000000" w:themeColor="text1"/>
        </w:rPr>
        <w:noBreakHyphen/>
        <w:t>6</w:t>
      </w:r>
      <w:r w:rsidRPr="003E04B8">
        <w:rPr>
          <w:u w:color="000000" w:themeColor="text1"/>
        </w:rPr>
        <w:noBreakHyphen/>
        <w:t>520: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lastRenderedPageBreak/>
        <w:tab/>
        <w:t>Not over $2,220</w:t>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3E04B8">
        <w:rPr>
          <w:szCs w:val="24"/>
          <w:u w:color="000000" w:themeColor="text1"/>
        </w:rPr>
        <w:t xml:space="preserve">2.5 percent of taxable </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$2,220 but not over $4,440</w:t>
      </w:r>
      <w:r w:rsidRPr="003E04B8">
        <w:rPr>
          <w:szCs w:val="24"/>
          <w:u w:color="000000" w:themeColor="text1"/>
        </w:rPr>
        <w:tab/>
      </w:r>
      <w:r w:rsidRPr="003E04B8">
        <w:rPr>
          <w:szCs w:val="24"/>
          <w:u w:color="000000" w:themeColor="text1"/>
        </w:rPr>
        <w:tab/>
      </w:r>
      <w:r w:rsidRPr="003E04B8">
        <w:rPr>
          <w:szCs w:val="24"/>
          <w:u w:color="000000" w:themeColor="text1"/>
        </w:rPr>
        <w:tab/>
        <w:t>income</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excess over $2,220;</w:t>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3E04B8">
        <w:rPr>
          <w:szCs w:val="24"/>
          <w:u w:color="000000" w:themeColor="text1"/>
        </w:rPr>
        <w:t xml:space="preserve">$56 plus 3 percent of the </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$4,440 but not over $6,660</w:t>
      </w:r>
      <w:r w:rsidRPr="003E04B8">
        <w:rPr>
          <w:szCs w:val="24"/>
          <w:u w:color="000000" w:themeColor="text1"/>
        </w:rPr>
        <w:tab/>
      </w:r>
      <w:r w:rsidRPr="003E04B8">
        <w:rPr>
          <w:szCs w:val="24"/>
          <w:u w:color="000000" w:themeColor="text1"/>
        </w:rPr>
        <w:tab/>
      </w:r>
      <w:r w:rsidRPr="003E04B8">
        <w:rPr>
          <w:szCs w:val="24"/>
          <w:u w:color="000000" w:themeColor="text1"/>
        </w:rPr>
        <w:tab/>
        <w:t>$123 plus 4 percent of the excess over $4,440;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$6,660 but not over $8,880</w:t>
      </w:r>
      <w:r w:rsidRPr="003E04B8">
        <w:rPr>
          <w:szCs w:val="24"/>
          <w:u w:color="000000" w:themeColor="text1"/>
        </w:rPr>
        <w:tab/>
      </w:r>
      <w:r w:rsidRPr="003E04B8">
        <w:rPr>
          <w:szCs w:val="24"/>
          <w:u w:color="000000" w:themeColor="text1"/>
        </w:rPr>
        <w:tab/>
      </w:r>
      <w:r w:rsidRPr="003E04B8">
        <w:rPr>
          <w:szCs w:val="24"/>
          <w:u w:color="000000" w:themeColor="text1"/>
        </w:rPr>
        <w:tab/>
        <w:t>$212 plus 5 percent of the excess of $6,660;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$8,880 but not over $11,100</w:t>
      </w:r>
      <w:r w:rsidRPr="003E04B8">
        <w:rPr>
          <w:szCs w:val="24"/>
          <w:u w:color="000000" w:themeColor="text1"/>
        </w:rPr>
        <w:tab/>
      </w:r>
      <w:r w:rsidRPr="003E04B8">
        <w:rPr>
          <w:szCs w:val="24"/>
          <w:u w:color="000000" w:themeColor="text1"/>
        </w:rPr>
        <w:tab/>
      </w:r>
      <w:r w:rsidRPr="003E04B8">
        <w:rPr>
          <w:szCs w:val="24"/>
          <w:u w:color="000000" w:themeColor="text1"/>
        </w:rPr>
        <w:tab/>
        <w:t>$323 plus 6 percent of the excess over $8,880;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3E04B8">
        <w:rPr>
          <w:szCs w:val="24"/>
          <w:u w:color="000000" w:themeColor="text1"/>
        </w:rPr>
        <w:tab/>
        <w:t>Over $11,100</w:t>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r w:rsidRPr="003E04B8">
        <w:rPr>
          <w:szCs w:val="24"/>
          <w:u w:color="000000" w:themeColor="text1"/>
        </w:rPr>
        <w:tab/>
      </w:r>
      <w:bookmarkStart w:id="5" w:name="temp"/>
      <w:bookmarkEnd w:id="5"/>
      <w:r>
        <w:rPr>
          <w:szCs w:val="24"/>
          <w:u w:color="000000" w:themeColor="text1"/>
        </w:rPr>
        <w:tab/>
      </w:r>
      <w:r>
        <w:rPr>
          <w:szCs w:val="24"/>
          <w:u w:color="000000" w:themeColor="text1"/>
        </w:rPr>
        <w:tab/>
      </w:r>
      <w:r>
        <w:rPr>
          <w:szCs w:val="24"/>
          <w:u w:color="000000" w:themeColor="text1"/>
        </w:rPr>
        <w:tab/>
      </w:r>
      <w:r>
        <w:rPr>
          <w:szCs w:val="24"/>
          <w:u w:color="000000" w:themeColor="text1"/>
        </w:rPr>
        <w:tab/>
      </w:r>
      <w:r>
        <w:rPr>
          <w:szCs w:val="24"/>
          <w:u w:color="000000" w:themeColor="text1"/>
        </w:rPr>
        <w:tab/>
      </w:r>
      <w:r w:rsidRPr="003E04B8">
        <w:rPr>
          <w:szCs w:val="24"/>
          <w:u w:color="000000" w:themeColor="text1"/>
        </w:rPr>
        <w:t>$456 plus 7 percent of the excess over $11,100.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04B8">
        <w:rPr>
          <w:u w:color="000000" w:themeColor="text1"/>
        </w:rPr>
        <w:tab/>
        <w:t>(B)</w:t>
      </w:r>
      <w:r w:rsidRPr="003E04B8">
        <w:rPr>
          <w:u w:val="single" w:color="000000" w:themeColor="text1"/>
        </w:rPr>
        <w:t>(1)</w:t>
      </w:r>
      <w:r w:rsidRPr="003E04B8">
        <w:rPr>
          <w:u w:color="000000" w:themeColor="text1"/>
        </w:rPr>
        <w:tab/>
      </w:r>
      <w:r w:rsidRPr="003E04B8">
        <w:rPr>
          <w:u w:val="single" w:color="000000" w:themeColor="text1"/>
        </w:rPr>
        <w:t>Notwithstanding subsection (A), for taxable years beginning after 2021, a tax is imposed on the South Carolina taxable income of individuals, estates, and trusts and any other entity except those taxed or exempted from taxation under Sections 12</w:t>
      </w:r>
      <w:r w:rsidRPr="003E04B8">
        <w:rPr>
          <w:u w:val="single" w:color="000000" w:themeColor="text1"/>
        </w:rPr>
        <w:noBreakHyphen/>
        <w:t>6</w:t>
      </w:r>
      <w:r w:rsidRPr="003E04B8">
        <w:rPr>
          <w:u w:val="single" w:color="000000" w:themeColor="text1"/>
        </w:rPr>
        <w:noBreakHyphen/>
        <w:t>530 through 12</w:t>
      </w:r>
      <w:r w:rsidRPr="003E04B8">
        <w:rPr>
          <w:u w:val="single" w:color="000000" w:themeColor="text1"/>
        </w:rPr>
        <w:noBreakHyphen/>
        <w:t>6</w:t>
      </w:r>
      <w:r w:rsidRPr="003E04B8">
        <w:rPr>
          <w:u w:val="single" w:color="000000" w:themeColor="text1"/>
        </w:rPr>
        <w:noBreakHyphen/>
        <w:t>550 computed at the following rates with the income brackets indexed in accordance with Section 12</w:t>
      </w:r>
      <w:r w:rsidRPr="003E04B8">
        <w:rPr>
          <w:u w:val="single" w:color="000000" w:themeColor="text1"/>
        </w:rPr>
        <w:noBreakHyphen/>
        <w:t>6</w:t>
      </w:r>
      <w:r w:rsidRPr="003E04B8">
        <w:rPr>
          <w:u w:val="single" w:color="000000" w:themeColor="text1"/>
        </w:rPr>
        <w:noBreakHyphen/>
        <w:t>520: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4"/>
          <w:u w:color="000000" w:themeColor="text1"/>
        </w:rPr>
        <w:tab/>
      </w:r>
      <w:r w:rsidRPr="003E04B8">
        <w:rPr>
          <w:szCs w:val="28"/>
          <w:u w:val="single" w:color="000000" w:themeColor="text1"/>
        </w:rPr>
        <w:t>At Least</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But less than</w:t>
      </w:r>
      <w:r w:rsidRPr="003E04B8">
        <w:rPr>
          <w:szCs w:val="28"/>
          <w:u w:color="000000" w:themeColor="text1"/>
        </w:rPr>
        <w:tab/>
      </w:r>
      <w:r w:rsidRPr="003E04B8">
        <w:rPr>
          <w:szCs w:val="28"/>
          <w:u w:color="000000" w:themeColor="text1"/>
        </w:rPr>
        <w:tab/>
      </w:r>
      <w:r w:rsidRPr="003E04B8">
        <w:rPr>
          <w:szCs w:val="28"/>
          <w:u w:val="single" w:color="000000" w:themeColor="text1"/>
        </w:rPr>
        <w:t>Compute the tax as follows</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8"/>
          <w:u w:color="000000" w:themeColor="text1"/>
        </w:rPr>
        <w:tab/>
      </w:r>
      <w:r w:rsidRPr="003E04B8">
        <w:rPr>
          <w:szCs w:val="28"/>
          <w:u w:val="single" w:color="000000" w:themeColor="text1"/>
        </w:rPr>
        <w:t>$0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$3,200</w:t>
      </w:r>
      <w:r w:rsidRPr="003E04B8">
        <w:rPr>
          <w:szCs w:val="28"/>
          <w:u w:color="000000" w:themeColor="text1"/>
        </w:rPr>
        <w:tab/>
      </w:r>
      <w:r w:rsidRPr="003E04B8">
        <w:rPr>
          <w:szCs w:val="28"/>
          <w:u w:color="000000" w:themeColor="text1"/>
        </w:rPr>
        <w:tab/>
      </w:r>
      <w:r w:rsidRPr="003E04B8">
        <w:rPr>
          <w:szCs w:val="28"/>
          <w:u w:color="000000" w:themeColor="text1"/>
        </w:rPr>
        <w:tab/>
      </w:r>
      <w:r>
        <w:rPr>
          <w:szCs w:val="28"/>
          <w:u w:color="000000" w:themeColor="text1"/>
        </w:rPr>
        <w:tab/>
      </w:r>
      <w:r>
        <w:rPr>
          <w:szCs w:val="28"/>
          <w:u w:color="000000" w:themeColor="text1"/>
        </w:rPr>
        <w:tab/>
      </w:r>
      <w:r w:rsidRPr="003E04B8">
        <w:rPr>
          <w:szCs w:val="28"/>
          <w:u w:val="single" w:color="000000" w:themeColor="text1"/>
        </w:rPr>
        <w:t>0% times the amount</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color="000000" w:themeColor="text1"/>
        </w:rPr>
      </w:pPr>
      <w:r w:rsidRPr="003E04B8">
        <w:rPr>
          <w:szCs w:val="28"/>
          <w:u w:color="000000" w:themeColor="text1"/>
        </w:rPr>
        <w:tab/>
      </w:r>
      <w:r w:rsidRPr="003E04B8">
        <w:rPr>
          <w:szCs w:val="28"/>
          <w:u w:val="single" w:color="000000" w:themeColor="text1"/>
        </w:rPr>
        <w:t>$3,200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$16,040</w:t>
      </w:r>
      <w:r w:rsidRPr="003E04B8">
        <w:rPr>
          <w:szCs w:val="28"/>
          <w:u w:color="000000" w:themeColor="text1"/>
        </w:rPr>
        <w:tab/>
      </w:r>
      <w:r w:rsidRPr="003E04B8">
        <w:rPr>
          <w:szCs w:val="28"/>
          <w:u w:color="000000" w:themeColor="text1"/>
        </w:rPr>
        <w:tab/>
      </w:r>
      <w:r w:rsidRPr="003E04B8">
        <w:rPr>
          <w:szCs w:val="28"/>
          <w:u w:color="000000" w:themeColor="text1"/>
        </w:rPr>
        <w:tab/>
      </w:r>
      <w:r>
        <w:rPr>
          <w:szCs w:val="28"/>
          <w:u w:color="000000" w:themeColor="text1"/>
        </w:rPr>
        <w:tab/>
      </w:r>
      <w:r w:rsidRPr="003E04B8">
        <w:rPr>
          <w:szCs w:val="28"/>
          <w:u w:val="single" w:color="000000" w:themeColor="text1"/>
        </w:rPr>
        <w:t>3% times the amount minus $96</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3E04B8">
        <w:rPr>
          <w:szCs w:val="28"/>
          <w:u w:color="000000" w:themeColor="text1"/>
        </w:rPr>
        <w:tab/>
      </w:r>
      <w:r w:rsidRPr="003E04B8">
        <w:rPr>
          <w:szCs w:val="28"/>
          <w:u w:val="single" w:color="000000" w:themeColor="text1"/>
        </w:rPr>
        <w:t>$16,040</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or more</w:t>
      </w:r>
      <w:r w:rsidRPr="003E04B8">
        <w:rPr>
          <w:szCs w:val="28"/>
          <w:u w:color="000000" w:themeColor="text1"/>
        </w:rPr>
        <w:tab/>
      </w:r>
      <w:r w:rsidRPr="003E04B8">
        <w:rPr>
          <w:szCs w:val="28"/>
          <w:u w:color="000000" w:themeColor="text1"/>
        </w:rPr>
        <w:tab/>
      </w:r>
      <w:r w:rsidRPr="003E04B8">
        <w:rPr>
          <w:szCs w:val="28"/>
          <w:u w:color="000000" w:themeColor="text1"/>
        </w:rPr>
        <w:tab/>
      </w:r>
      <w:r w:rsidRPr="003E04B8">
        <w:rPr>
          <w:szCs w:val="28"/>
          <w:u w:val="single" w:color="000000" w:themeColor="text1"/>
        </w:rPr>
        <w:t>6% times the amount minus $577</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4B8">
        <w:rPr>
          <w:u w:color="000000" w:themeColor="text1"/>
        </w:rPr>
        <w:tab/>
      </w:r>
      <w:r w:rsidRPr="003E04B8">
        <w:rPr>
          <w:u w:color="000000" w:themeColor="text1"/>
        </w:rPr>
        <w:tab/>
      </w:r>
      <w:r w:rsidRPr="003E04B8">
        <w:rPr>
          <w:u w:val="single" w:color="000000" w:themeColor="text1"/>
        </w:rPr>
        <w:t>(2)</w:t>
      </w:r>
      <w:r w:rsidRPr="003E04B8">
        <w:rPr>
          <w:u w:color="000000" w:themeColor="text1"/>
        </w:rPr>
        <w:tab/>
      </w:r>
      <w:r w:rsidRPr="003E04B8">
        <w:rPr>
          <w:u w:val="single" w:color="000000" w:themeColor="text1"/>
        </w:rPr>
        <w:t>Notwithstanding the provisions of item (1), the reduction in the top marginal rate contained in this item, as compared to the same in subsection (A), must be phased</w:t>
      </w:r>
      <w:r w:rsidRPr="003E04B8">
        <w:rPr>
          <w:u w:val="single" w:color="000000" w:themeColor="text1"/>
        </w:rPr>
        <w:noBreakHyphen/>
        <w:t>in as provided in item (3).  Until the top marginal rate is fully phased</w:t>
      </w:r>
      <w:r w:rsidRPr="003E04B8">
        <w:rPr>
          <w:u w:val="single" w:color="000000" w:themeColor="text1"/>
        </w:rPr>
        <w:noBreakHyphen/>
        <w:t>in, the bracket to which this reduced top marginal rate applies must be the same as the bracket for the top marginal rate provided in subsection (A).  All reductions are permanent and c</w:t>
      </w:r>
      <w:r w:rsidRPr="003E04B8">
        <w:rPr>
          <w:u w:val="single"/>
        </w:rPr>
        <w:t>umulative.  During the phase</w:t>
      </w:r>
      <w:r w:rsidRPr="003E04B8">
        <w:rPr>
          <w:u w:val="single"/>
        </w:rPr>
        <w:noBreakHyphen/>
        <w:t>in and after, the department shall continue to adjust the brackets as provided in Section 12</w:t>
      </w:r>
      <w:r w:rsidRPr="003E04B8">
        <w:rPr>
          <w:u w:val="single"/>
        </w:rPr>
        <w:noBreakHyphen/>
        <w:t>6</w:t>
      </w:r>
      <w:r w:rsidRPr="003E04B8">
        <w:rPr>
          <w:u w:val="single"/>
        </w:rPr>
        <w:noBreakHyphen/>
        <w:t>520.  Other than the top marginal rate, no other component of this item is phased-in.</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04B8">
        <w:rPr>
          <w:u w:color="000000" w:themeColor="text1"/>
        </w:rPr>
        <w:tab/>
      </w:r>
      <w:r w:rsidRPr="003E04B8">
        <w:rPr>
          <w:u w:color="000000" w:themeColor="text1"/>
        </w:rPr>
        <w:tab/>
      </w:r>
      <w:r w:rsidRPr="003E04B8">
        <w:rPr>
          <w:u w:val="single" w:color="000000" w:themeColor="text1"/>
        </w:rPr>
        <w:t>(3)</w:t>
      </w:r>
      <w:r w:rsidRPr="003E04B8">
        <w:rPr>
          <w:u w:color="000000" w:themeColor="text1"/>
        </w:rPr>
        <w:tab/>
      </w:r>
      <w:r w:rsidRPr="003E04B8">
        <w:rPr>
          <w:u w:val="single" w:color="000000" w:themeColor="text1"/>
        </w:rPr>
        <w:t>For Tax Year 2022, the top marginal rate shall equal 6.5%.  Beginning with Tax Year 2023, and each year thereafter until the top marginal rate equals 6%, the top marginal rate must decrease by one</w:t>
      </w:r>
      <w:r w:rsidRPr="003E04B8">
        <w:rPr>
          <w:u w:val="single" w:color="000000" w:themeColor="text1"/>
        </w:rPr>
        <w:noBreakHyphen/>
        <w:t>tenth of one percent if general fund revenues are projected to increase by at least five percent in the fiscal year that begins during the tax year. For purposes of this subsection, beginning with the initial forecast required pursuant to Section 11</w:t>
      </w:r>
      <w:r w:rsidRPr="003E04B8">
        <w:rPr>
          <w:u w:val="single" w:color="000000" w:themeColor="text1"/>
        </w:rPr>
        <w:noBreakHyphen/>
        <w:t>9</w:t>
      </w:r>
      <w:r w:rsidRPr="003E04B8">
        <w:rPr>
          <w:u w:val="single" w:color="000000" w:themeColor="text1"/>
        </w:rPr>
        <w:noBreakHyphen/>
        <w:t xml:space="preserve">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w:t>
      </w:r>
      <w:r w:rsidRPr="003E04B8">
        <w:rPr>
          <w:u w:val="single" w:color="000000" w:themeColor="text1"/>
        </w:rPr>
        <w:lastRenderedPageBreak/>
        <w:t>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3E04B8">
        <w:rPr>
          <w:u w:val="single" w:color="000000" w:themeColor="text1"/>
        </w:rPr>
        <w:noBreakHyphen/>
        <w:t>27</w:t>
      </w:r>
      <w:r w:rsidRPr="003E04B8">
        <w:rPr>
          <w:u w:val="single" w:color="000000" w:themeColor="text1"/>
        </w:rPr>
        <w:noBreakHyphen/>
        <w:t>30.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ab/>
      </w:r>
      <w:r w:rsidRPr="003E04B8">
        <w:rPr>
          <w:u w:val="single" w:color="000000" w:themeColor="text1"/>
        </w:rPr>
        <w:t>(C)</w:t>
      </w:r>
      <w:r w:rsidRPr="003E04B8">
        <w:rPr>
          <w:u w:color="000000" w:themeColor="text1"/>
        </w:rPr>
        <w:tab/>
        <w:t xml:space="preserve">The department may prescribe tax tables consistent with the rates set pursuant to </w:t>
      </w:r>
      <w:r w:rsidRPr="003E04B8">
        <w:rPr>
          <w:strike/>
          <w:u w:color="000000" w:themeColor="text1"/>
        </w:rPr>
        <w:t>subsection (A)</w:t>
      </w:r>
      <w:r w:rsidRPr="003E04B8">
        <w:rPr>
          <w:u w:color="000000" w:themeColor="text1"/>
        </w:rPr>
        <w:t xml:space="preserve"> </w:t>
      </w:r>
      <w:r w:rsidRPr="003E04B8">
        <w:rPr>
          <w:u w:val="single" w:color="000000" w:themeColor="text1"/>
        </w:rPr>
        <w:t>this section</w:t>
      </w:r>
      <w:r w:rsidRPr="003E04B8">
        <w:rPr>
          <w:u w:color="000000" w:themeColor="text1"/>
        </w:rPr>
        <w:t>.”</w:t>
      </w:r>
      <w:r w:rsidRPr="003E04B8">
        <w:rPr>
          <w:u w:color="000000" w:themeColor="text1"/>
        </w:rPr>
        <w:tab/>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SECTION</w:t>
      </w:r>
      <w:r w:rsidRPr="003E04B8">
        <w:rPr>
          <w:u w:color="000000" w:themeColor="text1"/>
        </w:rPr>
        <w:tab/>
        <w:t>2.</w:t>
      </w:r>
      <w:r w:rsidRPr="003E04B8">
        <w:rPr>
          <w:u w:color="000000" w:themeColor="text1"/>
        </w:rPr>
        <w:tab/>
        <w:t xml:space="preserve">A. </w:t>
      </w:r>
      <w:r w:rsidRPr="003E04B8">
        <w:rPr>
          <w:u w:color="000000" w:themeColor="text1"/>
        </w:rPr>
        <w:tab/>
        <w:t>Section 12</w:t>
      </w:r>
      <w:r w:rsidRPr="003E04B8">
        <w:rPr>
          <w:u w:color="000000" w:themeColor="text1"/>
        </w:rPr>
        <w:noBreakHyphen/>
        <w:t>6</w:t>
      </w:r>
      <w:r w:rsidRPr="003E04B8">
        <w:rPr>
          <w:u w:color="000000" w:themeColor="text1"/>
        </w:rPr>
        <w:noBreakHyphen/>
        <w:t>1171(A) of the 1976 Code is amended to read:</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tab/>
        <w:t>“</w:t>
      </w:r>
      <w:r w:rsidRPr="003E04B8">
        <w:rPr>
          <w:u w:color="000000" w:themeColor="text1"/>
        </w:rPr>
        <w:t>(A)</w:t>
      </w:r>
      <w:r w:rsidRPr="003E04B8">
        <w:rPr>
          <w:strike/>
          <w:u w:color="000000" w:themeColor="text1"/>
        </w:rPr>
        <w:t>(1)</w:t>
      </w:r>
      <w:r w:rsidRPr="003E04B8">
        <w:rPr>
          <w:u w:color="000000" w:themeColor="text1"/>
        </w:rPr>
        <w:tab/>
        <w:t xml:space="preserve">An individual taxpayer </w:t>
      </w:r>
      <w:r w:rsidRPr="003E04B8">
        <w:rPr>
          <w:strike/>
          <w:u w:color="000000" w:themeColor="text1"/>
        </w:rPr>
        <w:t>who has</w:t>
      </w:r>
      <w:r w:rsidRPr="003E04B8">
        <w:rPr>
          <w:u w:color="000000" w:themeColor="text1"/>
        </w:rPr>
        <w:t xml:space="preserve"> </w:t>
      </w:r>
      <w:r w:rsidRPr="003E04B8">
        <w:rPr>
          <w:u w:val="single" w:color="000000" w:themeColor="text1"/>
        </w:rPr>
        <w:t>may deduct all</w:t>
      </w:r>
      <w:r w:rsidRPr="003E04B8">
        <w:rPr>
          <w:u w:color="000000" w:themeColor="text1"/>
        </w:rPr>
        <w:t xml:space="preserve"> military retirement income</w:t>
      </w:r>
      <w:r w:rsidRPr="003E04B8">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3E04B8">
        <w:rPr>
          <w:strike/>
          <w:u w:color="000000" w:themeColor="text1"/>
        </w:rPr>
        <w:noBreakHyphen/>
        <w:t>6</w:t>
      </w:r>
      <w:r w:rsidRPr="003E04B8">
        <w:rPr>
          <w:strike/>
          <w:u w:color="000000" w:themeColor="text1"/>
        </w:rPr>
        <w:noBreakHyphen/>
        <w:t>3330.</w:t>
      </w: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4B8">
        <w:rPr>
          <w:u w:color="000000" w:themeColor="text1"/>
        </w:rPr>
        <w:tab/>
      </w:r>
      <w:r w:rsidRPr="003E04B8">
        <w:rPr>
          <w:u w:color="000000" w:themeColor="text1"/>
        </w:rPr>
        <w:tab/>
      </w:r>
      <w:r w:rsidRPr="003E04B8">
        <w:rPr>
          <w:strike/>
          <w:u w:color="000000" w:themeColor="text1"/>
        </w:rPr>
        <w:t>(2)</w:t>
      </w:r>
      <w:r w:rsidRPr="003E04B8">
        <w:rPr>
          <w:u w:color="000000" w:themeColor="text1"/>
        </w:rPr>
        <w:tab/>
      </w:r>
      <w:r w:rsidRPr="003E04B8">
        <w:rPr>
          <w:strike/>
          <w:u w:color="000000" w:themeColor="text1"/>
        </w:rPr>
        <w:t>Notwithstanding item (1), beginning in the year in which an individual taxpayer reaches age sixty</w:t>
      </w:r>
      <w:r w:rsidRPr="003E04B8">
        <w:rPr>
          <w:strike/>
          <w:u w:color="000000" w:themeColor="text1"/>
        </w:rPr>
        <w:noBreakHyphen/>
        <w:t>five, an individual taxpayer who has military retirement income may deduct up to thirty thousand dollars of military retirement income</w:t>
      </w:r>
      <w:r w:rsidRPr="003E04B8">
        <w:rPr>
          <w:u w:color="000000" w:themeColor="text1"/>
        </w:rPr>
        <w:t xml:space="preserve"> that is included in South Carolina taxable income.”</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Pr>
          <w:u w:color="000000" w:themeColor="text1"/>
        </w:rPr>
        <w:tab/>
      </w:r>
      <w:r w:rsidRPr="003E04B8">
        <w:rPr>
          <w:u w:color="000000" w:themeColor="text1"/>
        </w:rPr>
        <w:t>This SECTION takes effect upon approval by the Governor and first applies to tax years beginning after 2021.</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SECTION</w:t>
      </w:r>
      <w:r w:rsidRPr="003E04B8">
        <w:rPr>
          <w:u w:color="000000" w:themeColor="text1"/>
        </w:rPr>
        <w:tab/>
        <w:t>3.</w:t>
      </w:r>
      <w:r w:rsidRPr="003E04B8">
        <w:rPr>
          <w:u w:color="000000" w:themeColor="text1"/>
        </w:rPr>
        <w:tab/>
        <w:t>A.</w:t>
      </w:r>
      <w:r w:rsidRPr="003E04B8">
        <w:rPr>
          <w:u w:color="000000" w:themeColor="text1"/>
        </w:rPr>
        <w:tab/>
        <w:t xml:space="preserve"> Section 12</w:t>
      </w:r>
      <w:r w:rsidRPr="003E04B8">
        <w:rPr>
          <w:u w:color="000000" w:themeColor="text1"/>
        </w:rPr>
        <w:noBreakHyphen/>
        <w:t>6</w:t>
      </w:r>
      <w:r w:rsidRPr="003E04B8">
        <w:rPr>
          <w:u w:color="000000" w:themeColor="text1"/>
        </w:rPr>
        <w:noBreakHyphen/>
        <w:t>515 of the 1976 Code is repealed.</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3E04B8"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04B8">
        <w:rPr>
          <w:u w:color="000000" w:themeColor="text1"/>
        </w:rPr>
        <w:t>B.</w:t>
      </w:r>
      <w:r>
        <w:rPr>
          <w:u w:color="000000" w:themeColor="text1"/>
        </w:rPr>
        <w:tab/>
      </w:r>
      <w:r>
        <w:rPr>
          <w:u w:color="000000" w:themeColor="text1"/>
        </w:rPr>
        <w:tab/>
      </w:r>
      <w:r w:rsidRPr="003E04B8">
        <w:rPr>
          <w:u w:color="000000" w:themeColor="text1"/>
        </w:rPr>
        <w:t>This SECTION takes effect on January first of the first tax year in which the provisions of Section 12-6-510(B) are fully phased-in and the top marginal rate equals six percent.</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SECTION</w:t>
      </w:r>
      <w:r w:rsidRPr="001A1180">
        <w:rPr>
          <w:u w:color="000000" w:themeColor="text1"/>
        </w:rPr>
        <w:tab/>
      </w:r>
      <w:r>
        <w:rPr>
          <w:u w:color="000000" w:themeColor="text1"/>
        </w:rPr>
        <w:t>4</w:t>
      </w:r>
      <w:r w:rsidRPr="001A1180">
        <w:rPr>
          <w:u w:color="000000" w:themeColor="text1"/>
        </w:rPr>
        <w:t>.</w:t>
      </w:r>
      <w:r w:rsidRPr="001A1180">
        <w:rPr>
          <w:u w:color="000000" w:themeColor="text1"/>
        </w:rPr>
        <w:tab/>
        <w:t>A.</w:t>
      </w:r>
      <w:r w:rsidRPr="001A1180">
        <w:rPr>
          <w:u w:color="000000" w:themeColor="text1"/>
        </w:rPr>
        <w:tab/>
        <w:t xml:space="preserve"> Section 12</w:t>
      </w:r>
      <w:r w:rsidRPr="001A1180">
        <w:rPr>
          <w:u w:color="000000" w:themeColor="text1"/>
        </w:rPr>
        <w:noBreakHyphen/>
        <w:t>37</w:t>
      </w:r>
      <w:r w:rsidRPr="001A1180">
        <w:rPr>
          <w:u w:color="000000" w:themeColor="text1"/>
        </w:rPr>
        <w:noBreakHyphen/>
        <w:t>220(52) of the 1976 Code, as last amended by Act 39 of 2021, is further amended to read:</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t>“(52)(a)(i)</w:t>
      </w:r>
      <w:r w:rsidRPr="001A1180">
        <w:rPr>
          <w:u w:color="000000" w:themeColor="text1"/>
        </w:rPr>
        <w:tab/>
        <w:t>14.2857 percent of the property tax value of manufacturing property assessed for property tax purposes pursuant to Section 12</w:t>
      </w:r>
      <w:r w:rsidRPr="001A1180">
        <w:rPr>
          <w:u w:color="000000" w:themeColor="text1"/>
        </w:rPr>
        <w:noBreakHyphen/>
        <w:t>43</w:t>
      </w:r>
      <w:r w:rsidRPr="001A1180">
        <w:rPr>
          <w:u w:color="000000" w:themeColor="text1"/>
        </w:rPr>
        <w:noBreakHyphen/>
        <w:t>220(a)(1). The exemption allowed by this item does not apply to property owned or leased by a public utility, as defined in Section 58</w:t>
      </w:r>
      <w:r w:rsidRPr="001A1180">
        <w:rPr>
          <w:u w:color="000000" w:themeColor="text1"/>
        </w:rPr>
        <w:noBreakHyphen/>
        <w:t>3</w:t>
      </w:r>
      <w:r w:rsidRPr="001A1180">
        <w:rPr>
          <w:u w:color="000000" w:themeColor="text1"/>
        </w:rPr>
        <w:noBreakHyphen/>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r>
      <w:r w:rsidRPr="001A1180">
        <w:rPr>
          <w:u w:color="000000" w:themeColor="text1"/>
        </w:rPr>
        <w:tab/>
      </w:r>
      <w:r w:rsidRPr="001A1180">
        <w:rPr>
          <w:u w:color="000000" w:themeColor="text1"/>
        </w:rPr>
        <w:tab/>
      </w:r>
      <w:r w:rsidRPr="001A1180">
        <w:rPr>
          <w:u w:color="000000" w:themeColor="text1"/>
        </w:rPr>
        <w:tab/>
        <w:t>(ii)</w:t>
      </w:r>
      <w:r w:rsidRPr="001A1180">
        <w:rPr>
          <w:u w:color="000000" w:themeColor="text1"/>
        </w:rPr>
        <w:tab/>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r>
      <w:r w:rsidRPr="001A1180">
        <w:rPr>
          <w:u w:color="000000" w:themeColor="text1"/>
        </w:rPr>
        <w:tab/>
      </w:r>
      <w:r w:rsidRPr="001A1180">
        <w:rPr>
          <w:u w:color="000000" w:themeColor="text1"/>
        </w:rPr>
        <w:tab/>
        <w:t>(b)</w:t>
      </w:r>
      <w:r w:rsidRPr="001A1180">
        <w:rPr>
          <w:u w:color="000000" w:themeColor="text1"/>
        </w:rPr>
        <w:tab/>
        <w:t xml:space="preserve">The revenue loss resulting from the exemption allowed by this item must be reimbursed and allocated to the political subdivisions of this State, including school districts, in the same manner as the Trust Fund for Tax Relief, not to exceed </w:t>
      </w:r>
      <w:r w:rsidRPr="001A1180">
        <w:rPr>
          <w:strike/>
          <w:u w:color="000000" w:themeColor="text1"/>
        </w:rPr>
        <w:t>eighty</w:t>
      </w:r>
      <w:r w:rsidRPr="001A1180">
        <w:rPr>
          <w:strike/>
          <w:u w:color="000000" w:themeColor="text1"/>
        </w:rPr>
        <w:noBreakHyphen/>
        <w:t>five</w:t>
      </w:r>
      <w:r w:rsidRPr="001A1180">
        <w:rPr>
          <w:u w:color="000000" w:themeColor="text1"/>
        </w:rPr>
        <w:t xml:space="preserve"> </w:t>
      </w:r>
      <w:r w:rsidRPr="001A1180">
        <w:rPr>
          <w:u w:val="single"/>
        </w:rPr>
        <w:t>one hundred seventy</w:t>
      </w:r>
      <w:r w:rsidRPr="001A1180">
        <w:rPr>
          <w:u w:color="000000" w:themeColor="text1"/>
        </w:rPr>
        <w:t xml:space="preserve"> million dollars per year. In calculating estimated state individual and corporate income tax revenues for a fiscal year, the Board of Economic Advisors shall deduct amounts sufficient to account for the reimbursement required by this item.</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r>
      <w:r w:rsidRPr="001A1180">
        <w:rPr>
          <w:u w:color="000000" w:themeColor="text1"/>
        </w:rPr>
        <w:tab/>
      </w:r>
      <w:r w:rsidRPr="001A1180">
        <w:rPr>
          <w:u w:color="000000" w:themeColor="text1"/>
        </w:rPr>
        <w:tab/>
        <w:t>(c)</w:t>
      </w:r>
      <w:r w:rsidRPr="001A1180">
        <w:rPr>
          <w:u w:color="000000" w:themeColor="text1"/>
        </w:rPr>
        <w:tab/>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r>
      <w:r w:rsidRPr="001A1180">
        <w:rPr>
          <w:u w:color="000000" w:themeColor="text1"/>
        </w:rPr>
        <w:tab/>
      </w:r>
      <w:r w:rsidRPr="001A1180">
        <w:rPr>
          <w:u w:color="000000" w:themeColor="text1"/>
        </w:rPr>
        <w:tab/>
        <w:t>(d)</w:t>
      </w:r>
      <w:r w:rsidRPr="001A1180">
        <w:rPr>
          <w:u w:color="000000" w:themeColor="text1"/>
        </w:rPr>
        <w:tab/>
        <w:t>Notwithstanding any other provision of law, property exempted from property taxes in the manner provided in this item is considered taxable property for purposes of bonded indebtedness pursuant to Section 15, Article X of the Constitution of this State.”</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B.</w:t>
      </w:r>
      <w:r>
        <w:rPr>
          <w:u w:color="000000" w:themeColor="text1"/>
        </w:rPr>
        <w:tab/>
      </w:r>
      <w:r w:rsidRPr="001A1180">
        <w:rPr>
          <w:u w:color="000000" w:themeColor="text1"/>
        </w:rPr>
        <w:tab/>
        <w:t>This SECTION takes effect upon approval by the Governor and applies to property tax years after 2021.</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SECTION</w:t>
      </w:r>
      <w:r w:rsidRPr="001A1180">
        <w:rPr>
          <w:u w:color="000000" w:themeColor="text1"/>
        </w:rPr>
        <w:tab/>
      </w:r>
      <w:r>
        <w:rPr>
          <w:u w:color="000000" w:themeColor="text1"/>
        </w:rPr>
        <w:t>5</w:t>
      </w:r>
      <w:r w:rsidRPr="001A1180">
        <w:rPr>
          <w:u w:color="000000" w:themeColor="text1"/>
        </w:rPr>
        <w:t>.</w:t>
      </w:r>
      <w:r w:rsidRPr="001A1180">
        <w:rPr>
          <w:u w:color="000000" w:themeColor="text1"/>
        </w:rPr>
        <w:tab/>
        <w:t>(A)</w:t>
      </w:r>
      <w:r w:rsidRPr="001A1180">
        <w:rPr>
          <w:u w:color="000000" w:themeColor="text1"/>
        </w:rPr>
        <w:tab/>
        <w:t xml:space="preserve">From the Contingency Reserve Fund, there is appropriated one dollar to the Taxpayer Rebate Fund which is </w:t>
      </w:r>
      <w:r w:rsidRPr="001A1180">
        <w:rPr>
          <w:u w:color="000000" w:themeColor="text1"/>
        </w:rPr>
        <w:lastRenderedPageBreak/>
        <w:t>created in the State Treasury.  The fund is separate and distinct from the general fund and all other funds of the State.</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t>(B)</w:t>
      </w:r>
      <w:r w:rsidRPr="001A1180">
        <w:rPr>
          <w:u w:color="000000" w:themeColor="text1"/>
        </w:rPr>
        <w:tab/>
        <w:t>The fund must be used by the Department of Revenue to provide a one</w:t>
      </w:r>
      <w:r w:rsidRPr="001A1180">
        <w:rPr>
          <w:u w:color="000000" w:themeColor="text1"/>
        </w:rPr>
        <w:noBreakHyphen/>
        <w:t>time rebate for individual income taxpayers that filed a return for tax year 2021.  Each return filed for 2021 shall receive a rebate equal to the amount of tax liability on the return, except that:</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r>
      <w:r w:rsidRPr="001A1180">
        <w:rPr>
          <w:u w:color="000000" w:themeColor="text1"/>
        </w:rPr>
        <w:tab/>
        <w:t>(1)</w:t>
      </w:r>
      <w:r w:rsidRPr="001A1180">
        <w:rPr>
          <w:u w:color="000000" w:themeColor="text1"/>
        </w:rPr>
        <w:tab/>
        <w:t>if a return has one dollar or less of liability, the rebate shall equal one dollar, and</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r>
      <w:r w:rsidRPr="001A1180">
        <w:rPr>
          <w:u w:color="000000" w:themeColor="text1"/>
        </w:rPr>
        <w:tab/>
        <w:t>(2)</w:t>
      </w:r>
      <w:r w:rsidRPr="001A1180">
        <w:rPr>
          <w:u w:color="000000" w:themeColor="text1"/>
        </w:rPr>
        <w:tab/>
        <w:t xml:space="preserve">if a return has one dollar or more of liability, the rebate shall equal one dollar.  </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t>The department must issue these refunds by December 31, 2022.</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t>(C)</w:t>
      </w:r>
      <w:r w:rsidRPr="001A1180">
        <w:rPr>
          <w:u w:color="000000" w:themeColor="text1"/>
        </w:rPr>
        <w:tab/>
        <w:t>The department may retain funds sufficient to administer the rebate, but not to exceed their actual costs.</w:t>
      </w:r>
    </w:p>
    <w:p w:rsidR="00F25704" w:rsidRPr="001A1180"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180">
        <w:rPr>
          <w:u w:color="000000" w:themeColor="text1"/>
        </w:rPr>
        <w:tab/>
        <w:t>(D)</w:t>
      </w:r>
      <w:r w:rsidRPr="001A1180">
        <w:rPr>
          <w:u w:color="000000" w:themeColor="text1"/>
        </w:rPr>
        <w:tab/>
        <w:t>Any funds remaining in the fund after every rebate has been accounted for shall lapse to the Contingency Reserve Fund, at which time the fund is dissolved.</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A1180">
        <w:rPr>
          <w:u w:color="000000" w:themeColor="text1"/>
        </w:rPr>
        <w:tab/>
        <w:t>(e)</w:t>
      </w:r>
      <w:r w:rsidRPr="001A1180">
        <w:rPr>
          <w:u w:color="000000" w:themeColor="text1"/>
        </w:rPr>
        <w:tab/>
        <w:t>Rebates in the amount of one dollar shall not be disbursed.</w:t>
      </w:r>
    </w:p>
    <w:p w:rsidR="00F25704"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36CB" w:rsidRDefault="00F25704" w:rsidP="00F25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4B8">
        <w:rPr>
          <w:u w:color="000000" w:themeColor="text1"/>
        </w:rPr>
        <w:t>SECTION</w:t>
      </w:r>
      <w:r w:rsidRPr="003E04B8">
        <w:rPr>
          <w:u w:color="000000" w:themeColor="text1"/>
        </w:rPr>
        <w:tab/>
      </w:r>
      <w:r>
        <w:rPr>
          <w:u w:color="000000" w:themeColor="text1"/>
        </w:rPr>
        <w:t>6</w:t>
      </w:r>
      <w:r w:rsidRPr="003E04B8">
        <w:rPr>
          <w:u w:color="000000" w:themeColor="text1"/>
        </w:rPr>
        <w:t>.</w:t>
      </w:r>
      <w:r w:rsidRPr="003E04B8">
        <w:rPr>
          <w:u w:color="000000" w:themeColor="text1"/>
        </w:rPr>
        <w:tab/>
        <w:t>This act takes effect upon approval by the Governor.</w:t>
      </w:r>
    </w:p>
    <w:p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E84" w:rsidRDefault="00617E84" w:rsidP="00617E84">
      <w:pPr>
        <w:suppressAutoHyphens/>
      </w:pPr>
    </w:p>
    <w:sectPr w:rsidR="00617E84" w:rsidSect="002007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6CB" w:rsidRDefault="003A36CB" w:rsidP="009F0C77">
      <w:r>
        <w:separator/>
      </w:r>
    </w:p>
  </w:endnote>
  <w:endnote w:type="continuationSeparator" w:id="0">
    <w:p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CE8C48-48EA-4135-AB9F-8C84A19450BD}"/>
    <w:embedBold r:id="rId2" w:fontKey="{2C9DD1F2-A413-42BD-B1D0-48A410C4D1F1}"/>
  </w:font>
  <w:font w:name="Calibri">
    <w:panose1 w:val="020F0502020204030204"/>
    <w:charset w:val="00"/>
    <w:family w:val="swiss"/>
    <w:pitch w:val="variable"/>
    <w:sig w:usb0="E4002EFF" w:usb1="C000247B" w:usb2="00000009" w:usb3="00000000" w:csb0="000001FF" w:csb1="00000000"/>
    <w:embedRegular r:id="rId3" w:fontKey="{D44124BD-06CE-45E1-ADD2-AB82BC2001B6}"/>
  </w:font>
  <w:font w:name="Segoe UI">
    <w:panose1 w:val="020B0502040204020203"/>
    <w:charset w:val="00"/>
    <w:family w:val="swiss"/>
    <w:pitch w:val="variable"/>
    <w:sig w:usb0="E4002EFF" w:usb1="C000E47F" w:usb2="00000009" w:usb3="00000000" w:csb0="000001FF" w:csb1="00000000"/>
    <w:embedRegular r:id="rId4" w:fontKey="{264087E6-0D66-4213-BF6A-9934B05A435F}"/>
  </w:font>
  <w:font w:name="Cambria">
    <w:panose1 w:val="02040503050406030204"/>
    <w:charset w:val="00"/>
    <w:family w:val="roman"/>
    <w:pitch w:val="variable"/>
    <w:sig w:usb0="E00006FF" w:usb1="420024FF" w:usb2="02000000" w:usb3="00000000" w:csb0="0000019F" w:csb1="00000000"/>
    <w:embedRegular r:id="rId5" w:fontKey="{06AEDC41-DC75-4262-A0F7-2AB9C71B08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5B" w:rsidRPr="00046B2B" w:rsidRDefault="00046B2B" w:rsidP="00046B2B">
    <w:pPr>
      <w:pStyle w:val="Footer"/>
      <w:tabs>
        <w:tab w:val="clear" w:pos="4680"/>
        <w:tab w:val="clear" w:pos="9360"/>
        <w:tab w:val="center" w:pos="2995"/>
      </w:tabs>
      <w:spacing w:before="120"/>
    </w:pPr>
    <w:r>
      <w:t>[1087</w:t>
    </w:r>
    <w:r w:rsidR="002007A0">
      <w:t>-</w:t>
    </w:r>
    <w:r w:rsidR="002007A0">
      <w:fldChar w:fldCharType="begin"/>
    </w:r>
    <w:r w:rsidR="002007A0">
      <w:instrText xml:space="preserve"> PAGE  \* MERGEFORMAT </w:instrText>
    </w:r>
    <w:r w:rsidR="002007A0">
      <w:fldChar w:fldCharType="separate"/>
    </w:r>
    <w:r w:rsidR="00617E84">
      <w:rPr>
        <w:noProof/>
      </w:rPr>
      <w:t>1</w:t>
    </w:r>
    <w:r w:rsidR="002007A0">
      <w:fldChar w:fldCharType="end"/>
    </w:r>
    <w:r w:rsidR="002007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A0" w:rsidRPr="00046B2B" w:rsidRDefault="002007A0"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617E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6CB" w:rsidRDefault="003A36CB" w:rsidP="009F0C77">
      <w:r>
        <w:separator/>
      </w:r>
    </w:p>
  </w:footnote>
  <w:footnote w:type="continuationSeparator" w:id="0">
    <w:p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85E13"/>
    <w:rsid w:val="000965A1"/>
    <w:rsid w:val="000C487D"/>
    <w:rsid w:val="000E1785"/>
    <w:rsid w:val="000F39F2"/>
    <w:rsid w:val="001023A4"/>
    <w:rsid w:val="0010776B"/>
    <w:rsid w:val="00133E66"/>
    <w:rsid w:val="00134ACF"/>
    <w:rsid w:val="00144E15"/>
    <w:rsid w:val="00193A94"/>
    <w:rsid w:val="001A4A62"/>
    <w:rsid w:val="001A681E"/>
    <w:rsid w:val="001D08F2"/>
    <w:rsid w:val="001D47CF"/>
    <w:rsid w:val="002007A0"/>
    <w:rsid w:val="002037CA"/>
    <w:rsid w:val="002047A2"/>
    <w:rsid w:val="002321B6"/>
    <w:rsid w:val="0023696B"/>
    <w:rsid w:val="00250967"/>
    <w:rsid w:val="002759C5"/>
    <w:rsid w:val="00277DEE"/>
    <w:rsid w:val="00280D88"/>
    <w:rsid w:val="00294ABE"/>
    <w:rsid w:val="002A3EB4"/>
    <w:rsid w:val="00325348"/>
    <w:rsid w:val="00393688"/>
    <w:rsid w:val="003A14A7"/>
    <w:rsid w:val="003A36CB"/>
    <w:rsid w:val="003D411E"/>
    <w:rsid w:val="003E3C1E"/>
    <w:rsid w:val="003E6148"/>
    <w:rsid w:val="003E7D04"/>
    <w:rsid w:val="00400EAA"/>
    <w:rsid w:val="00415ED0"/>
    <w:rsid w:val="0041760A"/>
    <w:rsid w:val="004203D7"/>
    <w:rsid w:val="00423F46"/>
    <w:rsid w:val="00461588"/>
    <w:rsid w:val="0047270E"/>
    <w:rsid w:val="004809EE"/>
    <w:rsid w:val="004946C4"/>
    <w:rsid w:val="004B2A8B"/>
    <w:rsid w:val="00511EE9"/>
    <w:rsid w:val="00521E00"/>
    <w:rsid w:val="00577C6C"/>
    <w:rsid w:val="0058501B"/>
    <w:rsid w:val="005C5AC4"/>
    <w:rsid w:val="0061228A"/>
    <w:rsid w:val="00617E84"/>
    <w:rsid w:val="006215AA"/>
    <w:rsid w:val="006340D9"/>
    <w:rsid w:val="00643B8E"/>
    <w:rsid w:val="00653ECC"/>
    <w:rsid w:val="00665EBC"/>
    <w:rsid w:val="00680479"/>
    <w:rsid w:val="0069470D"/>
    <w:rsid w:val="006A476C"/>
    <w:rsid w:val="006C6A93"/>
    <w:rsid w:val="006E02F9"/>
    <w:rsid w:val="006F3F76"/>
    <w:rsid w:val="00712A86"/>
    <w:rsid w:val="00753C04"/>
    <w:rsid w:val="00756946"/>
    <w:rsid w:val="00757F80"/>
    <w:rsid w:val="00771EEC"/>
    <w:rsid w:val="00786819"/>
    <w:rsid w:val="007A325A"/>
    <w:rsid w:val="007B2B71"/>
    <w:rsid w:val="007C3099"/>
    <w:rsid w:val="007E72BE"/>
    <w:rsid w:val="007F1523"/>
    <w:rsid w:val="007F509E"/>
    <w:rsid w:val="007F5799"/>
    <w:rsid w:val="007F6947"/>
    <w:rsid w:val="00834A12"/>
    <w:rsid w:val="0085630D"/>
    <w:rsid w:val="00872729"/>
    <w:rsid w:val="008E2DFF"/>
    <w:rsid w:val="008F4429"/>
    <w:rsid w:val="00932670"/>
    <w:rsid w:val="009352BB"/>
    <w:rsid w:val="009564FC"/>
    <w:rsid w:val="00990668"/>
    <w:rsid w:val="009B397B"/>
    <w:rsid w:val="009F0C77"/>
    <w:rsid w:val="009F4DD1"/>
    <w:rsid w:val="00A25860"/>
    <w:rsid w:val="00A64E80"/>
    <w:rsid w:val="00A741D9"/>
    <w:rsid w:val="00A85589"/>
    <w:rsid w:val="00A9741D"/>
    <w:rsid w:val="00AB0576"/>
    <w:rsid w:val="00AD4B17"/>
    <w:rsid w:val="00B26FA6"/>
    <w:rsid w:val="00B317F2"/>
    <w:rsid w:val="00B46A7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5C5B"/>
    <w:rsid w:val="00E21096"/>
    <w:rsid w:val="00E34A0C"/>
    <w:rsid w:val="00E437DA"/>
    <w:rsid w:val="00E44234"/>
    <w:rsid w:val="00E63093"/>
    <w:rsid w:val="00EB00A2"/>
    <w:rsid w:val="00EB1BF3"/>
    <w:rsid w:val="00EE0251"/>
    <w:rsid w:val="00EF3EEE"/>
    <w:rsid w:val="00F05E78"/>
    <w:rsid w:val="00F149A7"/>
    <w:rsid w:val="00F25704"/>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E6968-94DF-406D-94BC-8DDAE617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1604</Words>
  <Characters>8243</Characters>
  <Application>Microsoft Office Word</Application>
  <DocSecurity>0</DocSecurity>
  <Lines>211</Lines>
  <Paragraphs>52</Paragraphs>
  <ScaleCrop>false</ScaleCrop>
  <HeadingPairs>
    <vt:vector size="2" baseType="variant">
      <vt:variant>
        <vt:lpstr>Title</vt:lpstr>
      </vt:variant>
      <vt:variant>
        <vt:i4>1</vt:i4>
      </vt:variant>
    </vt:vector>
  </HeadingPairs>
  <TitlesOfParts>
    <vt:vector size="1" baseType="lpstr">
      <vt:lpstr>2021-2022 Bill 1087 Text of Previous Version (Feb. 17, 2022) - South Carolina Legislature Online</vt:lpstr>
    </vt:vector>
  </TitlesOfParts>
  <Company>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(May 11, 2022) - South Carolina Legislature Online</dc:title>
  <dc:subject/>
  <dc:creator>Niki Downey</dc:creator>
  <cp:keywords/>
  <dc:description/>
  <cp:lastModifiedBy>Danny Crook</cp:lastModifiedBy>
  <cp:revision>2</cp:revision>
  <cp:lastPrinted>2022-05-11T04:57:00Z</cp:lastPrinted>
  <dcterms:created xsi:type="dcterms:W3CDTF">2022-05-11T06:01:00Z</dcterms:created>
  <dcterms:modified xsi:type="dcterms:W3CDTF">2022-05-11T06:01:00Z</dcterms:modified>
</cp:coreProperties>
</file>