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EA0CC" w14:textId="77777777" w:rsidR="00541C4E" w:rsidRDefault="00541C4E"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A10BA95"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D2A119"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7B140D"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CF3A3"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BA7E8"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53424" w14:textId="77777777" w:rsidR="00CE1DF3" w:rsidRDefault="00CE1DF3" w:rsidP="00CE1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32A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F880F7" w14:textId="77777777" w:rsidR="0010776B" w:rsidRPr="00325348" w:rsidRDefault="0010776B" w:rsidP="0054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B6A">
        <w:rPr>
          <w:b/>
          <w:sz w:val="30"/>
          <w:szCs w:val="30"/>
        </w:rPr>
        <w:t>BILL</w:t>
      </w:r>
    </w:p>
    <w:p w14:paraId="3378418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76C15" w14:textId="162650E7" w:rsidR="0010776B" w:rsidRPr="0067619B"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9C0371">
        <w:rPr>
          <w:sz w:val="22"/>
          <w:szCs w:val="22"/>
          <w:u w:color="000000"/>
          <w:shd w:val="clear" w:color="auto" w:fill="FFFFFF"/>
        </w:rPr>
        <w:noBreakHyphen/>
      </w:r>
      <w:r w:rsidRPr="00B6668D">
        <w:rPr>
          <w:sz w:val="22"/>
          <w:szCs w:val="22"/>
          <w:u w:color="000000"/>
          <w:shd w:val="clear" w:color="auto" w:fill="FFFFFF"/>
        </w:rPr>
        <w:t>37</w:t>
      </w:r>
      <w:r w:rsidR="009C037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p>
    <w:p w14:paraId="2B7A1B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679F39F" w14:textId="3A8804AC"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F280989" w14:textId="2637D608" w:rsidR="0067619B" w:rsidRDefault="0067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580E29" w14:textId="7AF016CB"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19B">
        <w:t>Section 40</w:t>
      </w:r>
      <w:r w:rsidR="009C0371">
        <w:noBreakHyphen/>
      </w:r>
      <w:r w:rsidR="0067619B">
        <w:t>37</w:t>
      </w:r>
      <w:r w:rsidR="009C0371">
        <w:noBreakHyphen/>
      </w:r>
      <w:r w:rsidR="0067619B">
        <w:t>320(B) of the 1976 Code is amended to read:</w:t>
      </w:r>
    </w:p>
    <w:p w14:paraId="4DFC8E59" w14:textId="77777777" w:rsidR="0067619B" w:rsidRDefault="0067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87403" w14:textId="77777777" w:rsidR="0067619B" w:rsidRDefault="0067619B" w:rsidP="0067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w:t>
      </w:r>
      <w:r w:rsidRPr="00136B14">
        <w:t>(B)</w:t>
      </w:r>
      <w:r>
        <w:rPr>
          <w:u w:val="single"/>
        </w:rPr>
        <w:t>(1)</w:t>
      </w:r>
      <w:r>
        <w:tab/>
      </w:r>
      <w:r w:rsidRPr="00136B14">
        <w:t>Mobile units may be used</w:t>
      </w:r>
      <w:r w:rsidRPr="001D1914">
        <w:rPr>
          <w:strike/>
        </w:rPr>
        <w:t>; however, the optometrist shall obtain a registration</w:t>
      </w:r>
      <w:r w:rsidRPr="00136B14">
        <w:t xml:space="preserve"> </w:t>
      </w:r>
      <w:r>
        <w:rPr>
          <w:u w:val="single"/>
        </w:rPr>
        <w:t>by an optometrist if he files a permit</w:t>
      </w:r>
      <w:r>
        <w:t xml:space="preserve"> </w:t>
      </w:r>
      <w:r w:rsidRPr="00136B14">
        <w:t>for the mobile unit from the board</w:t>
      </w:r>
      <w:r>
        <w:t xml:space="preserve"> </w:t>
      </w:r>
      <w:r>
        <w:rPr>
          <w:u w:val="single"/>
        </w:rPr>
        <w:t>and complies with the other provisions of this subsection</w:t>
      </w:r>
      <w:r w:rsidRPr="00136B14">
        <w:t>. A mobile unit must be limited to visiting and providing services</w:t>
      </w:r>
      <w:r>
        <w:rPr>
          <w:u w:val="single"/>
        </w:rPr>
        <w:t>:</w:t>
      </w:r>
    </w:p>
    <w:p w14:paraId="6B777D5D" w14:textId="77777777" w:rsidR="0067619B" w:rsidRDefault="0067619B" w:rsidP="0067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8BF">
        <w:tab/>
      </w:r>
      <w:r w:rsidRPr="000358BF">
        <w:tab/>
      </w:r>
      <w:r>
        <w:tab/>
      </w:r>
      <w:r>
        <w:rPr>
          <w:u w:val="single"/>
        </w:rPr>
        <w:t>(a)</w:t>
      </w:r>
      <w:r w:rsidRPr="001D1914">
        <w:tab/>
      </w:r>
      <w:r w:rsidRPr="00136B14">
        <w:t>to licensed health care facilities within this State</w:t>
      </w:r>
      <w:r>
        <w:rPr>
          <w:u w:val="single"/>
        </w:rPr>
        <w:t>; and</w:t>
      </w:r>
    </w:p>
    <w:p w14:paraId="621156AA" w14:textId="3537F3DB" w:rsidR="0067619B" w:rsidRPr="00BB1992"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color="000000" w:themeColor="text1"/>
          <w:shd w:val="clear" w:color="auto" w:fill="FFFFFF"/>
        </w:rPr>
      </w:pP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BB1992">
        <w:rPr>
          <w:color w:val="000000" w:themeColor="text1"/>
          <w:sz w:val="22"/>
          <w:szCs w:val="22"/>
          <w:u w:val="single" w:color="000000" w:themeColor="text1"/>
          <w:shd w:val="clear" w:color="auto" w:fill="FFFFFF"/>
        </w:rPr>
        <w:t>(b)</w:t>
      </w:r>
      <w:r>
        <w:rPr>
          <w:color w:val="000000" w:themeColor="text1"/>
          <w:sz w:val="22"/>
          <w:szCs w:val="22"/>
          <w:u w:color="000000" w:themeColor="text1"/>
          <w:shd w:val="clear" w:color="auto" w:fill="FFFFFF"/>
        </w:rPr>
        <w:tab/>
      </w:r>
      <w:r w:rsidRPr="00BB1992">
        <w:rPr>
          <w:color w:val="000000" w:themeColor="text1"/>
          <w:sz w:val="22"/>
          <w:szCs w:val="22"/>
          <w:u w:val="single" w:color="000000" w:themeColor="text1"/>
          <w:shd w:val="clear" w:color="auto" w:fill="FFFFFF"/>
        </w:rPr>
        <w:t>on the site of a Title I public school to the students attending the school, provided the services must be rendered as part of a not</w:t>
      </w:r>
      <w:r w:rsidR="009C0371">
        <w:rPr>
          <w:color w:val="000000" w:themeColor="text1"/>
          <w:sz w:val="22"/>
          <w:szCs w:val="22"/>
          <w:u w:val="single" w:color="000000" w:themeColor="text1"/>
          <w:shd w:val="clear" w:color="auto" w:fill="FFFFFF"/>
        </w:rPr>
        <w:noBreakHyphen/>
      </w:r>
      <w:r w:rsidRPr="00BB1992">
        <w:rPr>
          <w:color w:val="000000" w:themeColor="text1"/>
          <w:sz w:val="22"/>
          <w:szCs w:val="22"/>
          <w:u w:val="single" w:color="000000" w:themeColor="text1"/>
          <w:shd w:val="clear" w:color="auto" w:fill="FFFFFF"/>
        </w:rPr>
        <w:t>for</w:t>
      </w:r>
      <w:r w:rsidR="009C0371">
        <w:rPr>
          <w:color w:val="000000" w:themeColor="text1"/>
          <w:sz w:val="22"/>
          <w:szCs w:val="22"/>
          <w:u w:val="single" w:color="000000" w:themeColor="text1"/>
          <w:shd w:val="clear" w:color="auto" w:fill="FFFFFF"/>
        </w:rPr>
        <w:noBreakHyphen/>
      </w:r>
      <w:r w:rsidRPr="00BB1992">
        <w:rPr>
          <w:color w:val="000000" w:themeColor="text1"/>
          <w:sz w:val="22"/>
          <w:szCs w:val="22"/>
          <w:u w:val="single" w:color="000000" w:themeColor="text1"/>
          <w:shd w:val="clear" w:color="auto" w:fill="FFFFFF"/>
        </w:rPr>
        <w:t>profit program</w:t>
      </w:r>
      <w:r w:rsidRPr="00BB1992">
        <w:rPr>
          <w:color w:val="000000" w:themeColor="text1"/>
          <w:sz w:val="22"/>
          <w:szCs w:val="22"/>
          <w:u w:color="000000" w:themeColor="text1"/>
          <w:shd w:val="clear" w:color="auto" w:fill="FFFFFF"/>
        </w:rPr>
        <w:t>.</w:t>
      </w:r>
    </w:p>
    <w:p w14:paraId="4E369797"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Pr>
          <w:color w:val="000000" w:themeColor="text1"/>
          <w:sz w:val="22"/>
          <w:szCs w:val="22"/>
          <w:u w:color="000000" w:themeColor="text1"/>
          <w:shd w:val="clear" w:color="auto" w:fill="FFFFFF"/>
        </w:rPr>
        <w:tab/>
      </w:r>
      <w:r>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(2)</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order to operate a mobile clinic in this State, an optometrist licensed by the board shall submit a permit application and fee in the form and manner set forth by the board. </w:t>
      </w:r>
    </w:p>
    <w:p w14:paraId="1F6261E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(3)(a)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14:paraId="1C52EA42"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permit issued under this subsection annually must be renewed upon the payment of a renewal fee and satisfactorily undergoing an annual inspection.</w:t>
      </w:r>
    </w:p>
    <w:p w14:paraId="33F1ABD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addition to the annual inspection, a mobile clinic authorized to operate under this subsection is subject to periodic unannounced inspections by an authorized representative of the board. </w:t>
      </w:r>
    </w:p>
    <w:p w14:paraId="5959092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(4)(a)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14:paraId="47C0042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board must be notified within thirty days of any change in the address or telephone number of record.</w:t>
      </w:r>
    </w:p>
    <w:p w14:paraId="2C6C9C8C"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written or printed documents available from or issued by a mobile clinic must contain an official address and telephone number of record for the mobile clinic.</w:t>
      </w:r>
    </w:p>
    <w:p w14:paraId="5DBE5FCE"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records must be maintained and available for inspection and copying upon request by the board.</w:t>
      </w:r>
    </w:p>
    <w:p w14:paraId="6B6E3D7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(5)</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The optometrist in charge of each mobile clinic, in addition to the other requirements of this subsection, shall ensure that: </w:t>
      </w:r>
    </w:p>
    <w:p w14:paraId="7F392A6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strike/>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services provided in the mobile clinic follow all statutes, regulations, and board policies that regulate the practice of optometry in this State;</w:t>
      </w:r>
    </w:p>
    <w:p w14:paraId="4F1D0E3B" w14:textId="3762FD61"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written procedures are implemented for emergency or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care for patients treated in the mobile clinic, including making prior arrangements, as may be appropriate, for emergency or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in an optometric facility located in the geographic area where services are being provided;</w:t>
      </w:r>
    </w:p>
    <w:p w14:paraId="28B7D2A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the mobile clinic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14:paraId="2F198672"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applicant possesses all applicable county and city licenses or permits, including business licenses, to operate the unit at the location where services are being provided;</w:t>
      </w:r>
    </w:p>
    <w:p w14:paraId="01479038"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(e)</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mobile clinic is at all times fitted with working carbon monoxide detection devices;</w:t>
      </w:r>
    </w:p>
    <w:p w14:paraId="31746EC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(f)</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no services are performed on minors without a signed consent form from a parent or guardian; and</w:t>
      </w:r>
    </w:p>
    <w:p w14:paraId="5ACB08EF" w14:textId="52B34F3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(g)</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during or at the conclusion of each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 xml:space="preserve">s visit to the mobile clinic, the patient or his parent or guardian, if the patient is a minor, is provided with an information sheet and if the patient has </w:t>
      </w:r>
      <w:r w:rsidRPr="00F80351">
        <w:rPr>
          <w:color w:val="000000" w:themeColor="text1"/>
          <w:sz w:val="22"/>
          <w:szCs w:val="22"/>
          <w:u w:val="single" w:color="000000" w:themeColor="text1"/>
          <w:shd w:val="clear" w:color="auto" w:fill="FFFFFF"/>
        </w:rPr>
        <w:lastRenderedPageBreak/>
        <w:t>provided consent to an institutional facility to assist in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health records, the institutional facility is provided with a copy of the information sheet. An institutional facility includes, but is not limited to, a long</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term care facility or school, and an information sheet must include the following:</w:t>
      </w:r>
    </w:p>
    <w:p w14:paraId="3A229E17"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pertinent contact information as provided by this subsection;</w:t>
      </w:r>
    </w:p>
    <w:p w14:paraId="5D17B1A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name of the optometrist, optician, and other staff who provided services and their license numbers, if applicable;</w:t>
      </w:r>
    </w:p>
    <w:p w14:paraId="7107DAB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description of the treatment rendered, including billed service codes and, in the instance of fee for service patients, fees associated with treatment;</w:t>
      </w:r>
    </w:p>
    <w:p w14:paraId="555F7AE5" w14:textId="564455F9"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(iv)</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description of any optometric needs diagnosed during the optometrist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examination; and</w:t>
      </w:r>
    </w:p>
    <w:p w14:paraId="4AFA954F" w14:textId="0D624FEC"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(v)</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recommendation that the patient see another optometrist if the mobile clinic is unable to provide the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described in subsubitem (iv).</w:t>
      </w:r>
    </w:p>
    <w:p w14:paraId="0A3EC3AE" w14:textId="0C22842D"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(6)</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that accepts a patient and provides preventive treatment, including a screening, eye examination or  prescription for corrective lenses, but does not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with treatment or a referral for treatment when such treatment is clearly indicated, is considered to have abandoned the patient. Appropriate arrangements must be made for treatment services within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geographic area on a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basis. Reasonable attempts to have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treatment when a patient does not reappear for treatment or does not meet a scheduled appointment is not considered abandonment.</w:t>
      </w:r>
    </w:p>
    <w:p w14:paraId="24E5A4B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(7)</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In addition to the other requirements of this subsection, every mobile clinic must have:</w:t>
      </w:r>
    </w:p>
    <w:p w14:paraId="18ED6E75"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ready access to a ramp or lift for services provided to disabled persons; and</w:t>
      </w:r>
    </w:p>
    <w:p w14:paraId="67B32DC8"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access to an adequate supply of potable water, including hot water;</w:t>
      </w:r>
    </w:p>
    <w:p w14:paraId="5FF0431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(8)(a)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14:paraId="1F4AF013"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14:paraId="18E8C226" w14:textId="2D8D638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operator shall advise the board in writing within thirty days of any change in the written procedure for emergency follow</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up care for patients treated in the mobile clinic.</w:t>
      </w:r>
    </w:p>
    <w:p w14:paraId="346CFCF4"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An optometrist providing services in the mobile clinic prominently shall display his license to practice in this State in plain view of patients.</w:t>
      </w:r>
    </w:p>
    <w:p w14:paraId="5430EB9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(9)(a)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An operator of a mobile clinic shall maintain a confidential written or electronic record detailing each location where services are provided, including:</w:t>
      </w:r>
    </w:p>
    <w:p w14:paraId="73CBD11B"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street address of the service location;</w:t>
      </w:r>
    </w:p>
    <w:p w14:paraId="6D21E84D"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dates and times of each session; and</w:t>
      </w:r>
    </w:p>
    <w:p w14:paraId="48D9B69A"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the number of patients served.</w:t>
      </w:r>
    </w:p>
    <w:p w14:paraId="633F09AF"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All confidential written or electronic records required to be maintained by this chapter or applicable regulations shall be made available to the board within ten days of a request by the board. Costs for such records must be covered by the mobile clinic.</w:t>
      </w:r>
    </w:p>
    <w:p w14:paraId="04637351"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(10)</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A mobile clinic must be in the charge of an optometrist licensed to practice optometry in this State at all times, and he must be responsible for services provided at the mobile clinic.</w:t>
      </w:r>
    </w:p>
    <w:p w14:paraId="764B9DC0"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(11)(a)</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Upon cessation of operation by the mobile clinic, the operator shall notify the board in writing within thirty days of the last day of operations of the final disposition of patient records and charts.</w:t>
      </w:r>
    </w:p>
    <w:p w14:paraId="4DEFB8D9"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Upon choosing to discontinue a practice or services in a community, the operator of a mobile clinic shall:</w:t>
      </w:r>
    </w:p>
    <w:p w14:paraId="00933E78" w14:textId="3CDA738F"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w:t>
      </w:r>
      <w:r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notify all of the operator</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active patients in writing that the operator intends to discontinue the mobile clinic</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 xml:space="preserve">s practice in the community; </w:t>
      </w:r>
    </w:p>
    <w:p w14:paraId="2BD028B5" w14:textId="77777777"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encourage the patients to seek the services of another optometrist; and</w:t>
      </w:r>
    </w:p>
    <w:p w14:paraId="6BB67A8C" w14:textId="6A93D608"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make reasonable arrangements with all active patients for the transfer of the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records to the patient or a succeeding practitioner.</w:t>
      </w:r>
    </w:p>
    <w:p w14:paraId="52884D8C" w14:textId="42FC835C"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As used in this subsection, </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active patient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 xml:space="preserve"> refers to a person whom the mobile clinic has examined, treated, cared for, or otherwise consulted with during the two</w:t>
      </w:r>
      <w:r w:rsidR="009C0371">
        <w:rPr>
          <w:color w:val="000000" w:themeColor="text1"/>
          <w:sz w:val="22"/>
          <w:szCs w:val="22"/>
          <w:u w:val="single" w:color="000000" w:themeColor="text1"/>
          <w:shd w:val="clear" w:color="auto" w:fill="FFFFFF"/>
        </w:rPr>
        <w:noBreakHyphen/>
      </w:r>
      <w:r w:rsidRPr="00F80351">
        <w:rPr>
          <w:color w:val="000000" w:themeColor="text1"/>
          <w:sz w:val="22"/>
          <w:szCs w:val="22"/>
          <w:u w:val="single" w:color="000000" w:themeColor="text1"/>
          <w:shd w:val="clear" w:color="auto" w:fill="FFFFFF"/>
        </w:rPr>
        <w:t>year period prior to discontinuation of practice, or moving from or leaving the community.</w:t>
      </w:r>
    </w:p>
    <w:p w14:paraId="5213DFAE" w14:textId="2937F64A" w:rsidR="0067619B" w:rsidRPr="00F80351" w:rsidRDefault="0067619B" w:rsidP="006761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(12)</w:t>
      </w:r>
      <w:r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w:t>
      </w:r>
      <w:r w:rsidRPr="00F80351">
        <w:rPr>
          <w:color w:val="000000" w:themeColor="text1"/>
          <w:sz w:val="22"/>
          <w:szCs w:val="22"/>
          <w:u w:val="single" w:color="000000" w:themeColor="text1"/>
          <w:shd w:val="clear" w:color="auto" w:fill="FFFFFF"/>
        </w:rPr>
        <w:lastRenderedPageBreak/>
        <w:t>policies governing the practice of optometry and the operation of a mobile clinic may subject the mobile clinic and any optometrists providing services through the mobile clinic to disciplinary action by the board, including suspension or revocation of the optometrist</w:t>
      </w:r>
      <w:r w:rsidR="009C0371">
        <w:rPr>
          <w:color w:val="000000" w:themeColor="text1"/>
          <w:sz w:val="22"/>
          <w:szCs w:val="22"/>
          <w:u w:val="single" w:color="000000" w:themeColor="text1"/>
          <w:shd w:val="clear" w:color="auto" w:fill="FFFFFF"/>
        </w:rPr>
        <w:t>’</w:t>
      </w:r>
      <w:r w:rsidRPr="00F80351">
        <w:rPr>
          <w:color w:val="000000" w:themeColor="text1"/>
          <w:sz w:val="22"/>
          <w:szCs w:val="22"/>
          <w:u w:val="single" w:color="000000" w:themeColor="text1"/>
          <w:shd w:val="clear" w:color="auto" w:fill="FFFFFF"/>
        </w:rPr>
        <w:t>s license or revocation of the mobile clinic permit.</w:t>
      </w:r>
      <w:r w:rsidRPr="003C38A2">
        <w:rPr>
          <w:color w:val="000000" w:themeColor="text1"/>
          <w:sz w:val="22"/>
          <w:szCs w:val="22"/>
          <w:u w:color="000000" w:themeColor="text1"/>
          <w:shd w:val="clear" w:color="auto" w:fill="FFFFFF"/>
        </w:rPr>
        <w:t>”</w:t>
      </w:r>
    </w:p>
    <w:p w14:paraId="232411BD" w14:textId="54EB5B6B"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C94724" w14:textId="297CA055" w:rsidR="003B3B6A" w:rsidRDefault="003B3B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19B">
        <w:t>2</w:t>
      </w:r>
      <w:r>
        <w:t>.</w:t>
      </w:r>
      <w:r>
        <w:tab/>
        <w:t>This act takes effect upon approval by the Governor.</w:t>
      </w:r>
    </w:p>
    <w:p w14:paraId="2046A2F7" w14:textId="7F6DD0EB" w:rsidR="00512EC6" w:rsidRDefault="009C03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B13FBA0" w14:textId="77777777" w:rsidR="00541C4E" w:rsidRDefault="00541C4E" w:rsidP="00541C4E">
      <w:pPr>
        <w:suppressAutoHyphens/>
      </w:pPr>
    </w:p>
    <w:sectPr w:rsidR="00541C4E" w:rsidSect="00541C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D0E1C" w14:textId="77777777" w:rsidR="003B3B6A" w:rsidRDefault="003B3B6A" w:rsidP="009F0C77">
      <w:r>
        <w:separator/>
      </w:r>
    </w:p>
  </w:endnote>
  <w:endnote w:type="continuationSeparator" w:id="0">
    <w:p w14:paraId="63258AFD" w14:textId="77777777" w:rsidR="003B3B6A" w:rsidRDefault="003B3B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D0BFEF-4086-4FC1-85B6-1DDE0BE956F2}"/>
    <w:embedBold r:id="rId2" w:fontKey="{D627D5B6-EA73-484C-8F16-0E7A2FDBBD9E}"/>
  </w:font>
  <w:font w:name="Calibri">
    <w:panose1 w:val="020F0502020204030204"/>
    <w:charset w:val="00"/>
    <w:family w:val="swiss"/>
    <w:pitch w:val="variable"/>
    <w:sig w:usb0="E4002EFF" w:usb1="C000247B" w:usb2="00000009" w:usb3="00000000" w:csb0="000001FF" w:csb1="00000000"/>
    <w:embedRegular r:id="rId3" w:fontKey="{D573FD87-F4AE-45AC-9552-758B0CB4EE88}"/>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72355ADD-E91C-4010-B8ED-C4E5D88D63F8}"/>
  </w:font>
  <w:font w:name="Cambria">
    <w:panose1 w:val="02040503050406030204"/>
    <w:charset w:val="00"/>
    <w:family w:val="roman"/>
    <w:pitch w:val="variable"/>
    <w:sig w:usb0="E00006FF" w:usb1="420024FF" w:usb2="02000000" w:usb3="00000000" w:csb0="0000019F" w:csb1="00000000"/>
    <w:embedRegular r:id="rId5" w:fontKey="{7EA1961F-557E-4FFA-9969-536ABECAA9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C1A58" w14:textId="6E7EC93D" w:rsidR="00512EC6" w:rsidRPr="00541C4E" w:rsidRDefault="00541C4E" w:rsidP="00541C4E">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857B4" w14:textId="77777777" w:rsidR="003B3B6A" w:rsidRDefault="003B3B6A" w:rsidP="009F0C77">
      <w:r>
        <w:separator/>
      </w:r>
    </w:p>
  </w:footnote>
  <w:footnote w:type="continuationSeparator" w:id="0">
    <w:p w14:paraId="10980FFE" w14:textId="77777777" w:rsidR="003B3B6A" w:rsidRDefault="003B3B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25WAB22"/>
    <w:docVar w:name="CoverBillType" w:val="b"/>
    <w:docVar w:name="DocPath" w:val="L:\Council\bills\AR\8025WAB22.DOCX"/>
    <w:docVar w:name="dvBillNumber" w:val="1146"/>
    <w:docVar w:name="dvBillNumberPrefix" w:val="S. "/>
    <w:docVar w:name="dvOriginalBody" w:val="Senate"/>
    <w:docVar w:name="dvSteno" w:val="AR"/>
    <w:docVar w:name="NameofBody" w:val="s"/>
    <w:docVar w:name="vGroup2" w:val="Council"/>
  </w:docVars>
  <w:rsids>
    <w:rsidRoot w:val="003B3B6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B6A"/>
    <w:rsid w:val="003D411E"/>
    <w:rsid w:val="003E3C1E"/>
    <w:rsid w:val="003E6148"/>
    <w:rsid w:val="003E7D04"/>
    <w:rsid w:val="00400EAA"/>
    <w:rsid w:val="0041760A"/>
    <w:rsid w:val="004203D7"/>
    <w:rsid w:val="00423F46"/>
    <w:rsid w:val="00461588"/>
    <w:rsid w:val="004809EE"/>
    <w:rsid w:val="004B2A8B"/>
    <w:rsid w:val="00511EE9"/>
    <w:rsid w:val="00512EC6"/>
    <w:rsid w:val="00521E00"/>
    <w:rsid w:val="00541C4E"/>
    <w:rsid w:val="00577C6C"/>
    <w:rsid w:val="0058501B"/>
    <w:rsid w:val="005C5AC4"/>
    <w:rsid w:val="0061228A"/>
    <w:rsid w:val="006215AA"/>
    <w:rsid w:val="006340D9"/>
    <w:rsid w:val="00643B8E"/>
    <w:rsid w:val="00653ECC"/>
    <w:rsid w:val="00665EBC"/>
    <w:rsid w:val="0067619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37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37A5"/>
    <w:rsid w:val="00C74E9D"/>
    <w:rsid w:val="00C82FD3"/>
    <w:rsid w:val="00CC6B7B"/>
    <w:rsid w:val="00CD3619"/>
    <w:rsid w:val="00CE1DF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9E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FE107"/>
  <w15:docId w15:val="{DCC54166-231B-4524-BDF4-000CD18F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7619B"/>
    <w:pPr>
      <w:pBdr>
        <w:top w:val="nil"/>
        <w:left w:val="nil"/>
        <w:bottom w:val="nil"/>
        <w:right w:val="nil"/>
        <w:between w:val="nil"/>
        <w:bar w:val="nil"/>
      </w:pBdr>
      <w:spacing w:after="0" w:line="240" w:lineRule="auto"/>
    </w:pPr>
    <w:rPr>
      <w:rFonts w:eastAsia="Arial Unicode MS"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B5337-B2DD-4FDB-94E0-FEDA1761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1443</Words>
  <Characters>7596</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1146 Text of Previous Version (Mar. 10, 2022) - South Carolina Legislature Online</dc:title>
  <dc:subject/>
  <dc:creator>Anna Rushton</dc:creator>
  <cp:keywords/>
  <dc:description/>
  <cp:lastModifiedBy>S Wilson</cp:lastModifiedBy>
  <cp:revision>2</cp:revision>
  <cp:lastPrinted>2022-02-16T18:19:00Z</cp:lastPrinted>
  <dcterms:created xsi:type="dcterms:W3CDTF">2022-03-10T16:20:00Z</dcterms:created>
  <dcterms:modified xsi:type="dcterms:W3CDTF">2022-03-10T16:20:00Z</dcterms:modified>
</cp:coreProperties>
</file>