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31DA6" w:rsidRP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2022</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Pr="00531DA6" w:rsidRDefault="00531DA6" w:rsidP="00531DA6">
      <w:pPr>
        <w:tabs>
          <w:tab w:val="right" w:pos="5933"/>
        </w:tabs>
        <w:suppressAutoHyphens/>
        <w:jc w:val="both"/>
        <w:rPr>
          <w:rFonts w:eastAsia="Times New Roman"/>
        </w:rPr>
      </w:pPr>
      <w:r>
        <w:rPr>
          <w:rFonts w:eastAsia="Times New Roman"/>
        </w:rPr>
        <w:tab/>
      </w:r>
      <w:r>
        <w:rPr>
          <w:rFonts w:eastAsia="Times New Roman"/>
          <w:b/>
          <w:sz w:val="36"/>
        </w:rPr>
        <w:t>S. 1200</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53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B1B66">
        <w:t>Senator</w:t>
      </w:r>
      <w:r w:rsidR="00F957CB">
        <w:t>s</w:t>
      </w:r>
      <w:r w:rsidRPr="00AB1B66">
        <w:t xml:space="preserve"> Kimbrell</w:t>
      </w:r>
      <w:r w:rsidR="00F957CB">
        <w:t xml:space="preserve"> and Talley</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F957CB">
      <w:pPr>
        <w:tabs>
          <w:tab w:val="right" w:pos="5933"/>
        </w:tabs>
        <w:suppressAutoHyphens/>
        <w:jc w:val="both"/>
        <w:rPr>
          <w:rFonts w:eastAsia="Times New Roman"/>
        </w:rPr>
      </w:pPr>
      <w:r>
        <w:rPr>
          <w:rFonts w:eastAsia="Times New Roman"/>
        </w:rPr>
        <w:t>S. Printed 3/31/22--S.</w:t>
      </w:r>
      <w:r w:rsidR="00F957CB">
        <w:rPr>
          <w:rFonts w:eastAsia="Times New Roman"/>
        </w:rPr>
        <w:tab/>
        <w:t>[SEC 4/1/22 3:27 PM]</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24, 2022.</w:t>
      </w:r>
    </w:p>
    <w:p w:rsidR="00531DA6" w:rsidRPr="00531DA6" w:rsidRDefault="00531DA6" w:rsidP="0053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1DA6" w:rsidRDefault="00531D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31DA6" w:rsidSect="00531D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6B44" w:rsidRPr="00522CE0" w:rsidRDefault="00AA6B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6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32A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11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57168">
        <w:rPr>
          <w:color w:val="000000" w:themeColor="text1"/>
          <w:u w:color="000000" w:themeColor="text1"/>
        </w:rPr>
        <w:t>TO AMEND 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1320</w:t>
      </w:r>
      <w:r w:rsidR="00DE562D">
        <w:rPr>
          <w:color w:val="000000" w:themeColor="text1"/>
          <w:u w:color="000000" w:themeColor="text1"/>
        </w:rPr>
        <w:t xml:space="preserve"> OF THE 1976 CODE</w:t>
      </w:r>
      <w:r w:rsidRPr="00F57168">
        <w:rPr>
          <w:color w:val="000000" w:themeColor="text1"/>
          <w:u w:color="000000" w:themeColor="text1"/>
        </w:rPr>
        <w:t xml:space="preserve">, RELATING TO RESTRICTIONS ON LAKE WILLIAM C. BOWEN, TO </w:t>
      </w:r>
      <w:r>
        <w:rPr>
          <w:color w:val="000000" w:themeColor="text1"/>
          <w:u w:color="000000" w:themeColor="text1"/>
        </w:rPr>
        <w:t>REVISE THE MOTOR RESTRICTIONS ON THE LAKE.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2AB0" w:rsidRDefault="00532A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2AB0" w:rsidRDefault="00532A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7168">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 xml:space="preserve">1320 of the 1976 Code is amended to read: </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“Section 50</w:t>
      </w:r>
      <w:r w:rsidR="00E71D74">
        <w:rPr>
          <w:color w:val="000000" w:themeColor="text1"/>
          <w:u w:color="000000" w:themeColor="text1"/>
        </w:rPr>
        <w:noBreakHyphen/>
      </w:r>
      <w:r w:rsidRPr="00F57168">
        <w:rPr>
          <w:color w:val="000000" w:themeColor="text1"/>
          <w:u w:color="000000" w:themeColor="text1"/>
        </w:rPr>
        <w:t>25</w:t>
      </w:r>
      <w:r w:rsidR="00E71D74">
        <w:rPr>
          <w:color w:val="000000" w:themeColor="text1"/>
          <w:u w:color="000000" w:themeColor="text1"/>
        </w:rPr>
        <w:noBreakHyphen/>
      </w:r>
      <w:r w:rsidRPr="00F57168">
        <w:rPr>
          <w:color w:val="000000" w:themeColor="text1"/>
          <w:u w:color="000000" w:themeColor="text1"/>
        </w:rPr>
        <w:t>1320.</w:t>
      </w:r>
      <w:r w:rsidRPr="00F57168">
        <w:rPr>
          <w:color w:val="000000" w:themeColor="text1"/>
          <w:u w:color="000000" w:themeColor="text1"/>
        </w:rPr>
        <w:tab/>
        <w:t>On Lake William C. Bowen:</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(1)</w:t>
      </w:r>
      <w:r>
        <w:rPr>
          <w:color w:val="000000" w:themeColor="text1"/>
          <w:u w:color="000000" w:themeColor="text1"/>
        </w:rPr>
        <w:tab/>
      </w:r>
      <w:r w:rsidRPr="00F57168">
        <w:rPr>
          <w:color w:val="000000" w:themeColor="text1"/>
          <w:u w:color="000000" w:themeColor="text1"/>
        </w:rPr>
        <w:t xml:space="preserve">No boat, watercraft, or any other type of vessel with an outboard motor having a horsepower rating in excess of </w:t>
      </w:r>
      <w:r w:rsidRPr="00151FCE">
        <w:rPr>
          <w:strike/>
          <w:color w:val="000000" w:themeColor="text1"/>
          <w:u w:color="000000" w:themeColor="text1"/>
        </w:rPr>
        <w:t>one hundred fifteen</w:t>
      </w:r>
      <w:r w:rsidRPr="00151FCE">
        <w:rPr>
          <w:color w:val="000000" w:themeColor="text1"/>
          <w:u w:color="000000" w:themeColor="text1"/>
        </w:rPr>
        <w:t xml:space="preserve"> </w:t>
      </w:r>
      <w:r w:rsidRPr="00151FCE">
        <w:rPr>
          <w:color w:val="000000" w:themeColor="text1"/>
          <w:u w:val="single" w:color="000000" w:themeColor="text1"/>
        </w:rPr>
        <w:t>one hundred seventy-five</w:t>
      </w:r>
      <w:r w:rsidRPr="00F57168">
        <w:rPr>
          <w:color w:val="000000" w:themeColor="text1"/>
          <w:u w:color="000000" w:themeColor="text1"/>
        </w:rPr>
        <w:t xml:space="preserve"> horsepower is permitted.</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(2)</w:t>
      </w:r>
      <w:r>
        <w:rPr>
          <w:color w:val="000000" w:themeColor="text1"/>
          <w:u w:color="000000" w:themeColor="text1"/>
        </w:rPr>
        <w:tab/>
      </w:r>
      <w:r w:rsidRPr="00F57168">
        <w:rPr>
          <w:color w:val="000000" w:themeColor="text1"/>
          <w:u w:color="000000" w:themeColor="text1"/>
        </w:rPr>
        <w:t>No boat, watercraft, or any other type of vessel with an outboard motor in excess of the United States Coast Guard rating, with Coast Guard rating plate missing or changed, is permitted.</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(3)</w:t>
      </w:r>
      <w:r>
        <w:rPr>
          <w:color w:val="000000" w:themeColor="text1"/>
          <w:u w:color="000000" w:themeColor="text1"/>
        </w:rPr>
        <w:tab/>
      </w:r>
      <w:r w:rsidRPr="00F57168">
        <w:rPr>
          <w:color w:val="000000" w:themeColor="text1"/>
          <w:u w:color="000000" w:themeColor="text1"/>
        </w:rPr>
        <w:t>No boat, watercraft, or any oth</w:t>
      </w:r>
      <w:r>
        <w:rPr>
          <w:color w:val="000000" w:themeColor="text1"/>
          <w:u w:color="000000" w:themeColor="text1"/>
        </w:rPr>
        <w:t xml:space="preserve">er type of vessel powered by an </w:t>
      </w:r>
      <w:r w:rsidRPr="00F57168">
        <w:rPr>
          <w:color w:val="000000" w:themeColor="text1"/>
          <w:u w:color="000000" w:themeColor="text1"/>
        </w:rPr>
        <w:t xml:space="preserve">outdrive or inboard motor having an engine automotive horsepower rating in excess of </w:t>
      </w:r>
      <w:r w:rsidRPr="00151FCE">
        <w:rPr>
          <w:strike/>
          <w:color w:val="000000" w:themeColor="text1"/>
          <w:u w:color="000000" w:themeColor="text1"/>
        </w:rPr>
        <w:t>one hundred ninety</w:t>
      </w:r>
      <w:r>
        <w:rPr>
          <w:color w:val="000000" w:themeColor="text1"/>
          <w:u w:color="000000" w:themeColor="text1"/>
        </w:rPr>
        <w:t xml:space="preserve"> </w:t>
      </w:r>
      <w:r>
        <w:rPr>
          <w:color w:val="000000" w:themeColor="text1"/>
          <w:u w:val="single" w:color="000000" w:themeColor="text1"/>
        </w:rPr>
        <w:t>two hundred fifty</w:t>
      </w:r>
      <w:r w:rsidRPr="00F57168">
        <w:rPr>
          <w:color w:val="000000" w:themeColor="text1"/>
          <w:u w:color="000000" w:themeColor="text1"/>
        </w:rPr>
        <w:t xml:space="preserve"> horsepower is permitted. This restriction does not apply to towboats which have been approved by the American Waterski Association or any Coast Guard approved boat commonly referred to as an inboard boat designed by the manufacturer for towing waterskiers with the motor or engine located near the midpoint of the boat between the bow and stern, propeller driven by a single rod drive shaft extending through the hull with the propeller located under the boat in front of a rudder.</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57168">
        <w:rPr>
          <w:color w:val="000000" w:themeColor="text1"/>
          <w:u w:color="000000" w:themeColor="text1"/>
        </w:rPr>
        <w:tab/>
        <w:t>(4)</w:t>
      </w:r>
      <w:r>
        <w:rPr>
          <w:color w:val="000000" w:themeColor="text1"/>
          <w:u w:color="000000" w:themeColor="text1"/>
        </w:rPr>
        <w:tab/>
      </w:r>
      <w:r w:rsidRPr="00F57168">
        <w:rPr>
          <w:color w:val="000000" w:themeColor="text1"/>
          <w:u w:color="000000" w:themeColor="text1"/>
        </w:rPr>
        <w:t xml:space="preserve">There is no minimum or maximum restriction on length of boats, watercraft, or any other type of vessel. Boats, watercraft, and other vessels operated for law enforcement, emergency medical </w:t>
      </w:r>
      <w:r w:rsidRPr="00F57168">
        <w:rPr>
          <w:color w:val="000000" w:themeColor="text1"/>
          <w:u w:color="000000" w:themeColor="text1"/>
        </w:rPr>
        <w:lastRenderedPageBreak/>
        <w:t>services, or dam maintenance and repair are exempted from the restrictions in items (1) and (3) of this section.</w:t>
      </w:r>
      <w:r>
        <w:rPr>
          <w:color w:val="000000" w:themeColor="text1"/>
          <w:u w:color="000000" w:themeColor="text1"/>
        </w:rPr>
        <w:t>”</w:t>
      </w:r>
    </w:p>
    <w:p w:rsidR="00EC110A" w:rsidRPr="00F57168"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AB0" w:rsidRPr="00522CE0" w:rsidRDefault="00EC110A" w:rsidP="00EC1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r>
      <w:r w:rsidRPr="00F57168">
        <w:rPr>
          <w:color w:val="000000" w:themeColor="text1"/>
          <w:u w:color="000000" w:themeColor="text1"/>
        </w:rPr>
        <w:t>2.</w:t>
      </w:r>
      <w:r>
        <w:rPr>
          <w:color w:val="000000" w:themeColor="text1"/>
          <w:u w:color="000000" w:themeColor="text1"/>
        </w:rPr>
        <w:tab/>
      </w:r>
      <w:r w:rsidRPr="00F57168">
        <w:rPr>
          <w:color w:val="000000" w:themeColor="text1"/>
          <w:u w:color="000000" w:themeColor="text1"/>
        </w:rPr>
        <w:t>This act takes effect upon approval by the Governor.</w:t>
      </w:r>
    </w:p>
    <w:p w:rsidR="0046097E" w:rsidRDefault="00E71D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21042" w:rsidRDefault="00421042" w:rsidP="00421042">
      <w:pPr>
        <w:suppressAutoHyphens/>
        <w:jc w:val="both"/>
        <w:rPr>
          <w:rFonts w:eastAsia="Times New Roman"/>
        </w:rPr>
      </w:pPr>
    </w:p>
    <w:sectPr w:rsidR="00421042" w:rsidSect="00531D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AB0" w:rsidRDefault="00532AB0" w:rsidP="00522CE0">
      <w:r>
        <w:separator/>
      </w:r>
    </w:p>
  </w:endnote>
  <w:endnote w:type="continuationSeparator" w:id="0">
    <w:p w:rsidR="00532AB0" w:rsidRDefault="00532A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C3D416-2AE8-47B5-9B89-BC7B775D0FE6}"/>
    <w:embedBold r:id="rId2" w:fontKey="{BD3AEE01-5EDB-417C-9FD5-26148A48FA3C}"/>
  </w:font>
  <w:font w:name="Calibri">
    <w:panose1 w:val="020F0502020204030204"/>
    <w:charset w:val="00"/>
    <w:family w:val="swiss"/>
    <w:pitch w:val="variable"/>
    <w:sig w:usb0="E4002EFF" w:usb1="C000247B" w:usb2="00000009" w:usb3="00000000" w:csb0="000001FF" w:csb1="00000000"/>
    <w:embedRegular r:id="rId3" w:fontKey="{69EAFD7E-5F74-43DB-B236-32DAF40FB701}"/>
  </w:font>
  <w:font w:name="Segoe UI">
    <w:panose1 w:val="020B0502040204020203"/>
    <w:charset w:val="00"/>
    <w:family w:val="swiss"/>
    <w:pitch w:val="variable"/>
    <w:sig w:usb0="E4002EFF" w:usb1="C000E47F" w:usb2="00000009" w:usb3="00000000" w:csb0="000001FF" w:csb1="00000000"/>
    <w:embedRegular r:id="rId4" w:fontKey="{C701FB92-DC30-4300-B568-C9B021FC2877}"/>
  </w:font>
  <w:font w:name="Cambria">
    <w:panose1 w:val="02040503050406030204"/>
    <w:charset w:val="00"/>
    <w:family w:val="roman"/>
    <w:pitch w:val="variable"/>
    <w:sig w:usb0="E00006FF" w:usb1="420024FF" w:usb2="02000000" w:usb3="00000000" w:csb0="0000019F" w:csb1="00000000"/>
    <w:embedRegular r:id="rId5" w:fontKey="{1841B05A-C6DA-4D16-A6D7-66AA3C603B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97E" w:rsidRPr="00AA6B44" w:rsidRDefault="00AA6B44" w:rsidP="00AA6B44">
    <w:pPr>
      <w:pStyle w:val="Footer"/>
      <w:tabs>
        <w:tab w:val="clear" w:pos="4680"/>
        <w:tab w:val="clear" w:pos="9360"/>
        <w:tab w:val="center" w:pos="2995"/>
      </w:tabs>
      <w:spacing w:before="120"/>
    </w:pPr>
    <w:r>
      <w:t>[1200</w:t>
    </w:r>
    <w:r w:rsidR="00531DA6">
      <w:t>-</w:t>
    </w:r>
    <w:r w:rsidR="00531DA6">
      <w:fldChar w:fldCharType="begin"/>
    </w:r>
    <w:r w:rsidR="00531DA6">
      <w:instrText xml:space="preserve"> PAGE  \* MERGEFORMAT </w:instrText>
    </w:r>
    <w:r w:rsidR="00531DA6">
      <w:fldChar w:fldCharType="separate"/>
    </w:r>
    <w:r w:rsidR="00F957CB">
      <w:rPr>
        <w:noProof/>
      </w:rPr>
      <w:t>1</w:t>
    </w:r>
    <w:r w:rsidR="00531DA6">
      <w:fldChar w:fldCharType="end"/>
    </w:r>
    <w:r w:rsidR="00531DA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1DA6" w:rsidRPr="00AA6B44" w:rsidRDefault="00531DA6" w:rsidP="00AA6B44">
    <w:pPr>
      <w:pStyle w:val="Footer"/>
      <w:tabs>
        <w:tab w:val="clear" w:pos="4680"/>
        <w:tab w:val="clear" w:pos="9360"/>
        <w:tab w:val="center" w:pos="2995"/>
      </w:tabs>
      <w:spacing w:before="120"/>
    </w:pPr>
    <w:r>
      <w:t>[1200]</w:t>
    </w:r>
    <w:r>
      <w:tab/>
    </w:r>
    <w:r>
      <w:fldChar w:fldCharType="begin"/>
    </w:r>
    <w:r>
      <w:instrText xml:space="preserve"> PAGE  \* MERGEFORMAT </w:instrText>
    </w:r>
    <w:r>
      <w:fldChar w:fldCharType="separate"/>
    </w:r>
    <w:r w:rsidR="0042104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AB0" w:rsidRDefault="00532AB0" w:rsidP="00522CE0">
      <w:r>
        <w:separator/>
      </w:r>
    </w:p>
  </w:footnote>
  <w:footnote w:type="continuationSeparator" w:id="0">
    <w:p w:rsidR="00532AB0" w:rsidRDefault="00532A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LAKE.BC.JK"/>
    <w:docVar w:name="CoverAttorneyInitials" w:val="BC"/>
    <w:docVar w:name="CoverAttorneyLastName" w:val="Cohl"/>
    <w:docVar w:name="CoverBillType" w:val="b"/>
    <w:docVar w:name="CoverSenator" w:val="JK"/>
    <w:docVar w:name="dvBillNumber" w:val="1200"/>
    <w:docVar w:name="dvBillNumberPrefix" w:val="S. "/>
    <w:docVar w:name="dvOriginalBody" w:val="Senate"/>
    <w:docVar w:name="fulldraftpath" w:val="L:\S-DRAFTING\JK\001LAKE.BC.JK.DOCX"/>
    <w:docVar w:name="NameofBody" w:val="S"/>
    <w:docVar w:name="vgroup2" w:val="S-DRAFTING"/>
  </w:docVars>
  <w:rsids>
    <w:rsidRoot w:val="00532AB0"/>
    <w:rsid w:val="00042AC1"/>
    <w:rsid w:val="00046516"/>
    <w:rsid w:val="00072458"/>
    <w:rsid w:val="0007601D"/>
    <w:rsid w:val="000B0720"/>
    <w:rsid w:val="000B5EAF"/>
    <w:rsid w:val="001315B2"/>
    <w:rsid w:val="0013557C"/>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21042"/>
    <w:rsid w:val="0044020F"/>
    <w:rsid w:val="00450668"/>
    <w:rsid w:val="00454138"/>
    <w:rsid w:val="0046097E"/>
    <w:rsid w:val="004813A2"/>
    <w:rsid w:val="004952FA"/>
    <w:rsid w:val="004B6A22"/>
    <w:rsid w:val="004D7F37"/>
    <w:rsid w:val="004E2C7E"/>
    <w:rsid w:val="00522CE0"/>
    <w:rsid w:val="00531DA6"/>
    <w:rsid w:val="00532AB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57706"/>
    <w:rsid w:val="00870F6F"/>
    <w:rsid w:val="008B2F42"/>
    <w:rsid w:val="008C3697"/>
    <w:rsid w:val="008E185F"/>
    <w:rsid w:val="008F023B"/>
    <w:rsid w:val="00904E16"/>
    <w:rsid w:val="009162B3"/>
    <w:rsid w:val="00927C62"/>
    <w:rsid w:val="00983951"/>
    <w:rsid w:val="00984124"/>
    <w:rsid w:val="00984640"/>
    <w:rsid w:val="00995C37"/>
    <w:rsid w:val="009C118A"/>
    <w:rsid w:val="009D44B8"/>
    <w:rsid w:val="009F3104"/>
    <w:rsid w:val="00A02011"/>
    <w:rsid w:val="00A4011E"/>
    <w:rsid w:val="00A86015"/>
    <w:rsid w:val="00A9594E"/>
    <w:rsid w:val="00AA118D"/>
    <w:rsid w:val="00AA6B44"/>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840"/>
    <w:rsid w:val="00D53E29"/>
    <w:rsid w:val="00D86943"/>
    <w:rsid w:val="00D87969"/>
    <w:rsid w:val="00DA3C6B"/>
    <w:rsid w:val="00DA47B9"/>
    <w:rsid w:val="00DE562D"/>
    <w:rsid w:val="00DE5635"/>
    <w:rsid w:val="00E058D3"/>
    <w:rsid w:val="00E12CA0"/>
    <w:rsid w:val="00E2236D"/>
    <w:rsid w:val="00E71D74"/>
    <w:rsid w:val="00E76AD9"/>
    <w:rsid w:val="00E86EE2"/>
    <w:rsid w:val="00E91E2F"/>
    <w:rsid w:val="00EA3546"/>
    <w:rsid w:val="00EB47AE"/>
    <w:rsid w:val="00EC110A"/>
    <w:rsid w:val="00EC34E1"/>
    <w:rsid w:val="00F0234A"/>
    <w:rsid w:val="00F05175"/>
    <w:rsid w:val="00F05CF2"/>
    <w:rsid w:val="00F51241"/>
    <w:rsid w:val="00F52959"/>
    <w:rsid w:val="00F55884"/>
    <w:rsid w:val="00F957C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5AD575E"/>
  <w15:docId w15:val="{94FAA806-F62E-4377-B19F-B7EE31C5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E56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6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328</Words>
  <Characters>1640</Characters>
  <Application>Microsoft Office Word</Application>
  <DocSecurity>0</DocSecurity>
  <Lines>62</Lines>
  <Paragraphs>19</Paragraphs>
  <ScaleCrop>false</ScaleCrop>
  <Company>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1200 Text of Previous Version (Apr. 1, 2022) - South Carolina Legislature Online</dc:title>
  <dc:subject/>
  <dc:creator>Brian Cohl</dc:creator>
  <cp:keywords/>
  <dc:description/>
  <cp:lastModifiedBy>Danny Crook</cp:lastModifiedBy>
  <cp:revision>2</cp:revision>
  <dcterms:created xsi:type="dcterms:W3CDTF">2022-04-01T19:28:00Z</dcterms:created>
  <dcterms:modified xsi:type="dcterms:W3CDTF">2022-04-01T19:28:00Z</dcterms:modified>
</cp:coreProperties>
</file>