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0E4A" w14:textId="6B832B5C" w:rsidR="00976EA5"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w:t>
      </w:r>
      <w:r w:rsidRPr="00CD223E">
        <w:rPr>
          <w:rFonts w:eastAsia="Times New Roman"/>
        </w:rPr>
        <w:t>D</w:t>
      </w:r>
    </w:p>
    <w:p w14:paraId="0190329E" w14:textId="08E2C87F" w:rsidR="00976EA5"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May 6</w:t>
      </w:r>
      <w:r w:rsidR="00976EA5" w:rsidRPr="00CD223E">
        <w:rPr>
          <w:rFonts w:eastAsia="Times New Roman"/>
        </w:rPr>
        <w:t>, 2021</w:t>
      </w:r>
    </w:p>
    <w:p w14:paraId="50B292C9" w14:textId="472C0B0C"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A62B" w14:textId="012CA45D" w:rsidR="00976EA5" w:rsidRPr="00CD223E" w:rsidRDefault="00976EA5" w:rsidP="00976EA5">
      <w:pPr>
        <w:tabs>
          <w:tab w:val="right" w:pos="5933"/>
        </w:tabs>
        <w:suppressAutoHyphens/>
        <w:jc w:val="both"/>
        <w:rPr>
          <w:rFonts w:eastAsia="Times New Roman"/>
        </w:rPr>
      </w:pPr>
      <w:r w:rsidRPr="00CD223E">
        <w:rPr>
          <w:rFonts w:eastAsia="Times New Roman"/>
        </w:rPr>
        <w:tab/>
      </w:r>
      <w:r w:rsidRPr="00CD223E">
        <w:rPr>
          <w:rFonts w:eastAsia="Times New Roman"/>
          <w:b/>
          <w:sz w:val="36"/>
        </w:rPr>
        <w:t>S. 152</w:t>
      </w:r>
    </w:p>
    <w:p w14:paraId="50A8933C" w14:textId="3795B321"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C292" w14:textId="1A38F3FC"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 xml:space="preserve">Introduced by </w:t>
      </w:r>
      <w:r w:rsidRPr="00CD223E">
        <w:t>Senators Davis, Campsen, Goldfinch, Senn, M. Johnson, Hutto, Malloy, Harpootlian, Cromer, Matthews, K. Johnson, Rice and Hembree</w:t>
      </w:r>
    </w:p>
    <w:p w14:paraId="29A1380B" w14:textId="485349E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7F55F" w14:textId="529DA206"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w:t>
      </w:r>
      <w:r w:rsidR="000D049F" w:rsidRPr="00CD223E">
        <w:rPr>
          <w:rFonts w:eastAsia="Times New Roman"/>
        </w:rPr>
        <w:t xml:space="preserve"> Printed 5/6</w:t>
      </w:r>
      <w:r w:rsidRPr="00CD223E">
        <w:rPr>
          <w:rFonts w:eastAsia="Times New Roman"/>
        </w:rPr>
        <w:t>/21--S.</w:t>
      </w:r>
    </w:p>
    <w:p w14:paraId="2A20DD5C" w14:textId="513AAFF4"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Read the first time January 12, 2021.</w:t>
      </w:r>
    </w:p>
    <w:p w14:paraId="404426A8" w14:textId="4DF26B48"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u w:val="single"/>
        </w:rPr>
        <w:t>            </w:t>
      </w:r>
    </w:p>
    <w:p w14:paraId="397069C9" w14:textId="7DED5C9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C76CA" w14:textId="4222E0DD"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8650090"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6CC37"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6EA5"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CD223E">
        <w:rPr>
          <w:rFonts w:eastAsia="Times New Roman"/>
          <w:b/>
          <w:sz w:val="30"/>
          <w:szCs w:val="30"/>
        </w:rPr>
        <w:t xml:space="preserve">A </w:t>
      </w:r>
      <w:bookmarkStart w:id="2" w:name="whattype"/>
      <w:bookmarkEnd w:id="2"/>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bookmarkEnd w:id="1"/>
    </w:p>
    <w:p w14:paraId="70619F31" w14:textId="60C1B2DD" w:rsidR="00E03729"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Amend Title To Conform</w:t>
      </w:r>
    </w:p>
    <w:p w14:paraId="6ED941F0" w14:textId="77777777" w:rsidR="000D049F"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w:t>
      </w:r>
      <w:r w:rsidRPr="00CD223E">
        <w:rPr>
          <w:color w:val="000000" w:themeColor="text1"/>
          <w:u w:color="000000" w:themeColor="text1"/>
        </w:rPr>
        <w:lastRenderedPageBreak/>
        <w:t>headwaters, and mountain streams, as well as a diversity of plant 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Midlands region is home to the sandhills and longleaf pine habitat, which supports over 30 threatened or endangered plant and animal species, including 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state;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growing state in the nation,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although this rapid growth will bring prosperity and new opportunities to South Carolina, it will also put additional pressures on our State’s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7A2788E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C411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Pr="00CD223E">
        <w:rPr>
          <w:color w:val="000000" w:themeColor="text1"/>
          <w:u w:color="000000" w:themeColor="text1"/>
        </w:rPr>
        <w:noBreakHyphen/>
        <w:t>level rise and coastal flooding in the world, with some areas losing as much as three feet of bank each year, and additional sea</w:t>
      </w:r>
      <w:r w:rsidRPr="00CD223E">
        <w:rPr>
          <w:color w:val="000000" w:themeColor="text1"/>
          <w:u w:color="000000" w:themeColor="text1"/>
        </w:rPr>
        <w:noBreakHyphen/>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topography of our state,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State’s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w:t>
      </w:r>
      <w:r w:rsidRPr="00CD223E">
        <w:rPr>
          <w:color w:val="000000" w:themeColor="text1"/>
          <w:u w:color="000000" w:themeColor="text1"/>
        </w:rPr>
        <w:lastRenderedPageBreak/>
        <w:t>commercial properties and have imposed substantial burdens on South Carolina taxpayers through General Fund disbursements; and</w:t>
      </w:r>
    </w:p>
    <w:p w14:paraId="59543A5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EE1D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3D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4-10-1020.</w:t>
      </w:r>
      <w:r w:rsidRPr="00CD223E">
        <w:rPr>
          <w:color w:val="000000" w:themeColor="text1"/>
          <w:u w:color="000000" w:themeColor="text1"/>
        </w:rPr>
        <w:tab/>
        <w:t>(A)</w:t>
      </w:r>
      <w:r w:rsidRPr="00CD223E">
        <w:rPr>
          <w:color w:val="000000" w:themeColor="text1"/>
          <w:u w:color="000000" w:themeColor="text1"/>
        </w:rPr>
        <w:tab/>
        <w:t>The sales and use tax authorized by this article may be imposed by an enacting ordinance of a county’s governing body, subject to referendum approval in the county. An enacting ordinance must specify:</w:t>
      </w:r>
    </w:p>
    <w:p w14:paraId="44EBE0C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281B022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2F2EF73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the fact that preservation procurements may pertain to real property situated outside of the boundaries of the taxing jurisdiction.</w:t>
      </w:r>
    </w:p>
    <w:p w14:paraId="218F5D4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(B)(1)</w:t>
      </w:r>
      <w:r w:rsidRPr="00CD223E">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Subject to item (2), two weeks before a referendum, a county’s election commission must publish in a newspaper of general circulation the question that is to appear on the ballot, with a description of the methods by which the county’s governing body intends to procure open lands and </w:t>
      </w:r>
      <w:r w:rsidRPr="00CD223E">
        <w:rPr>
          <w:color w:val="000000" w:themeColor="text1"/>
          <w:u w:color="000000" w:themeColor="text1"/>
        </w:rPr>
        <w:lastRenderedPageBreak/>
        <w:t>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13FB006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a referendum on the question of imposing the sales and use tax is conducted in an odd</w:t>
      </w:r>
      <w:r w:rsidRPr="00CD223E">
        <w:rPr>
          <w:color w:val="000000" w:themeColor="text1"/>
          <w:u w:color="000000" w:themeColor="text1"/>
        </w:rPr>
        <w:noBreakHyphen/>
        <w:t>numbered year, and it is the only matter being considered at the general election, then six weeks before the referendum, the county’s election commission must publish in a newspaper of general circulation the question that is to appear on the ballot, with a description of the methods by which the county’s governing body intends to procure open lands and green space for preservation.</w:t>
      </w:r>
    </w:p>
    <w:p w14:paraId="1F4A65E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The referendum question to be on the ballot must read substantially as follows:</w:t>
      </w:r>
    </w:p>
    <w:p w14:paraId="0435030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C1D3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26D8B2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(a)</w:t>
      </w:r>
      <w:r w:rsidRPr="00CD223E">
        <w:rPr>
          <w:color w:val="000000" w:themeColor="text1"/>
          <w:u w:color="000000" w:themeColor="text1"/>
        </w:rPr>
        <w:tab/>
        <w:t>the acquisition of fee simple titles;</w:t>
      </w:r>
    </w:p>
    <w:p w14:paraId="624C360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(b)</w:t>
      </w:r>
      <w:r w:rsidRPr="00CD223E">
        <w:rPr>
          <w:color w:val="000000" w:themeColor="text1"/>
          <w:u w:color="000000" w:themeColor="text1"/>
        </w:rPr>
        <w:tab/>
        <w:t>conservation easements;</w:t>
      </w:r>
    </w:p>
    <w:p w14:paraId="20C2587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(c)</w:t>
      </w:r>
      <w:r w:rsidRPr="00CD223E">
        <w:rPr>
          <w:color w:val="000000" w:themeColor="text1"/>
          <w:u w:color="000000" w:themeColor="text1"/>
        </w:rPr>
        <w:tab/>
        <w:t>development rights;</w:t>
      </w:r>
    </w:p>
    <w:p w14:paraId="5AC8B7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(d)</w:t>
      </w:r>
      <w:r w:rsidRPr="00CD223E">
        <w:rPr>
          <w:color w:val="000000" w:themeColor="text1"/>
          <w:u w:color="000000" w:themeColor="text1"/>
        </w:rPr>
        <w:tab/>
        <w:t>rights of first refusal;</w:t>
      </w:r>
    </w:p>
    <w:p w14:paraId="6128336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(e)</w:t>
      </w:r>
      <w:r w:rsidRPr="00CD223E">
        <w:rPr>
          <w:color w:val="000000" w:themeColor="text1"/>
          <w:u w:color="000000" w:themeColor="text1"/>
        </w:rPr>
        <w:tab/>
        <w:t>options;</w:t>
      </w:r>
    </w:p>
    <w:p w14:paraId="5E48F27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(f)</w:t>
      </w:r>
      <w:r w:rsidRPr="00CD223E">
        <w:rPr>
          <w:color w:val="000000" w:themeColor="text1"/>
          <w:u w:color="000000" w:themeColor="text1"/>
        </w:rPr>
        <w:tab/>
        <w:t>leases with options to purchase; or</w:t>
      </w:r>
    </w:p>
    <w:p w14:paraId="2F8BEA8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(g)</w:t>
      </w:r>
      <w:r w:rsidRPr="00CD223E">
        <w:rPr>
          <w:color w:val="000000" w:themeColor="text1"/>
          <w:u w:color="000000" w:themeColor="text1"/>
        </w:rPr>
        <w:tab/>
        <w:t>any other interests in real property?</w:t>
      </w:r>
    </w:p>
    <w:p w14:paraId="25B1D2B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E098E"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Yes []</w:t>
      </w:r>
    </w:p>
    <w:p w14:paraId="13F15A37"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No []’</w:t>
      </w:r>
    </w:p>
    <w:p w14:paraId="2D1EAA5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A05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 xml:space="preserve">All qualified electors desiring to vote in favor of imposing the tax for the stated purposes shall vote ‘yes’, and all qualified electors opposed to levying the tax shall vote ‘no’. If a majority of </w:t>
      </w:r>
      <w:r w:rsidRPr="00CD223E">
        <w:rPr>
          <w:color w:val="000000" w:themeColor="text1"/>
          <w:u w:color="000000" w:themeColor="text1"/>
        </w:rPr>
        <w:lastRenderedPageBreak/>
        <w:t>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as those entities would receive the net proceeds of the tax.</w:t>
      </w:r>
    </w:p>
    <w:p w14:paraId="0C55A78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4D093A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93FB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94B19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4-10-1040.</w:t>
      </w:r>
      <w:r w:rsidRPr="00CD223E">
        <w:rPr>
          <w:color w:val="000000" w:themeColor="text1"/>
          <w:u w:color="000000" w:themeColor="text1"/>
        </w:rPr>
        <w:tab/>
        <w:t>(A)</w:t>
      </w:r>
      <w:r w:rsidRPr="00CD223E">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w:t>
      </w:r>
      <w:r w:rsidRPr="00CD223E">
        <w:rPr>
          <w:color w:val="000000" w:themeColor="text1"/>
          <w:u w:color="000000" w:themeColor="text1"/>
        </w:rPr>
        <w:lastRenderedPageBreak/>
        <w:t>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98192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3AEFF07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1617F" w14:textId="41AFB28B"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4-10-1050.</w:t>
      </w:r>
      <w:r w:rsidRPr="00CD223E">
        <w:rPr>
          <w:rFonts w:eastAsia="Times New Roman"/>
        </w:rPr>
        <w:tab/>
      </w:r>
      <w:r w:rsidRPr="00CD223E">
        <w:rPr>
          <w:color w:val="000000" w:themeColor="text1"/>
          <w:u w:color="000000" w:themeColor="text1"/>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2796199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lastRenderedPageBreak/>
        <w:tab/>
        <w:t>Section 4-10-1060.</w:t>
      </w:r>
      <w:r w:rsidRPr="00CD223E">
        <w:rPr>
          <w:rFonts w:eastAsia="Times New Roman"/>
        </w:rPr>
        <w:tab/>
      </w:r>
      <w:r w:rsidRPr="00CD223E">
        <w:rPr>
          <w:color w:val="000000" w:themeColor="text1"/>
          <w:u w:color="000000" w:themeColor="text1"/>
        </w:rPr>
        <w:t>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CE68160" w14:textId="77777777" w:rsidR="00065412" w:rsidRDefault="00065412" w:rsidP="00065412">
      <w:pPr>
        <w:suppressAutoHyphens/>
        <w:jc w:val="both"/>
        <w:rPr>
          <w:rFonts w:eastAsia="Times New Roman"/>
        </w:rPr>
      </w:pPr>
    </w:p>
    <w:sectPr w:rsidR="00065412"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334EF4" w:rsidRDefault="00334EF4" w:rsidP="00522CE0">
      <w:r>
        <w:separator/>
      </w:r>
    </w:p>
  </w:endnote>
  <w:endnote w:type="continuationSeparator" w:id="0">
    <w:p w14:paraId="5056A19E" w14:textId="77777777" w:rsidR="00334EF4" w:rsidRDefault="00334E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B55E68-F003-4B03-ACC0-DF0F0E3B7259}"/>
    <w:embedBold r:id="rId2" w:fontKey="{01ED7CD7-7396-4F20-83E6-89EF74C6B8DA}"/>
  </w:font>
  <w:font w:name="Calibri">
    <w:panose1 w:val="020F0502020204030204"/>
    <w:charset w:val="00"/>
    <w:family w:val="swiss"/>
    <w:pitch w:val="variable"/>
    <w:sig w:usb0="E0002EFF" w:usb1="C000247B" w:usb2="00000009" w:usb3="00000000" w:csb0="000001FF" w:csb1="00000000"/>
    <w:embedRegular r:id="rId3" w:fontKey="{54A8FA34-6FB8-4EB7-9C1B-087CE97E2E38}"/>
    <w:embedBold r:id="rId4" w:fontKey="{3C9487F6-1D71-4448-B712-77E9FC97E50A}"/>
  </w:font>
  <w:font w:name="Segoe UI">
    <w:panose1 w:val="020B0502040204020203"/>
    <w:charset w:val="00"/>
    <w:family w:val="swiss"/>
    <w:pitch w:val="variable"/>
    <w:sig w:usb0="E4002EFF" w:usb1="C000E47F" w:usb2="00000009" w:usb3="00000000" w:csb0="000001FF" w:csb1="00000000"/>
    <w:embedRegular r:id="rId5" w:fontKey="{EBA568D0-6315-43F7-92E6-36886B869795}"/>
  </w:font>
  <w:font w:name="Cambria">
    <w:panose1 w:val="02040503050406030204"/>
    <w:charset w:val="00"/>
    <w:family w:val="roman"/>
    <w:pitch w:val="variable"/>
    <w:sig w:usb0="E00006FF" w:usb1="420024FF" w:usb2="02000000" w:usb3="00000000" w:csb0="0000019F" w:csb1="00000000"/>
    <w:embedRegular r:id="rId6" w:fontKey="{FD3C852B-8E4F-4A9C-A240-FF2690E75D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5DE2AF60" w:rsidR="00A832F2" w:rsidRPr="00D47FAC" w:rsidRDefault="00D47FAC" w:rsidP="00D47FAC">
    <w:pPr>
      <w:pStyle w:val="Footer"/>
      <w:tabs>
        <w:tab w:val="clear" w:pos="4680"/>
        <w:tab w:val="clear" w:pos="9360"/>
        <w:tab w:val="center" w:pos="2995"/>
      </w:tabs>
      <w:spacing w:before="120"/>
    </w:pPr>
    <w:r>
      <w:t>[152</w:t>
    </w:r>
    <w:r w:rsidR="00976EA5">
      <w:t>-</w:t>
    </w:r>
    <w:r w:rsidR="00976EA5">
      <w:fldChar w:fldCharType="begin"/>
    </w:r>
    <w:r w:rsidR="00976EA5">
      <w:instrText xml:space="preserve"> PAGE  \* MERGEFORMAT </w:instrText>
    </w:r>
    <w:r w:rsidR="00976EA5">
      <w:fldChar w:fldCharType="separate"/>
    </w:r>
    <w:r w:rsidR="00065412">
      <w:rPr>
        <w:noProof/>
      </w:rPr>
      <w:t>1</w:t>
    </w:r>
    <w:r w:rsidR="00976EA5">
      <w:fldChar w:fldCharType="end"/>
    </w:r>
    <w:r w:rsidR="00976E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0FF0F3AB" w:rsidR="00976EA5" w:rsidRPr="00D47FAC" w:rsidRDefault="00976EA5"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0654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334EF4" w:rsidRDefault="00334EF4" w:rsidP="00522CE0">
      <w:r>
        <w:separator/>
      </w:r>
    </w:p>
  </w:footnote>
  <w:footnote w:type="continuationSeparator" w:id="0">
    <w:p w14:paraId="5B9B5FEF" w14:textId="77777777" w:rsidR="00334EF4" w:rsidRDefault="00334E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65412"/>
    <w:rsid w:val="00072458"/>
    <w:rsid w:val="0007601D"/>
    <w:rsid w:val="000B0720"/>
    <w:rsid w:val="000B5EAF"/>
    <w:rsid w:val="000D049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83247"/>
    <w:rsid w:val="003A5E89"/>
    <w:rsid w:val="003A7958"/>
    <w:rsid w:val="003D6E2B"/>
    <w:rsid w:val="003E1252"/>
    <w:rsid w:val="003E7597"/>
    <w:rsid w:val="00413EBF"/>
    <w:rsid w:val="0044020F"/>
    <w:rsid w:val="00450668"/>
    <w:rsid w:val="00454138"/>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1BF"/>
    <w:rsid w:val="006A1802"/>
    <w:rsid w:val="006C0CBB"/>
    <w:rsid w:val="006C21E2"/>
    <w:rsid w:val="006C74EA"/>
    <w:rsid w:val="006F1DF7"/>
    <w:rsid w:val="006F56CF"/>
    <w:rsid w:val="00720D40"/>
    <w:rsid w:val="007318D4"/>
    <w:rsid w:val="007447B4"/>
    <w:rsid w:val="0075244B"/>
    <w:rsid w:val="00765784"/>
    <w:rsid w:val="0078434F"/>
    <w:rsid w:val="007A4390"/>
    <w:rsid w:val="007C7561"/>
    <w:rsid w:val="007D5B2C"/>
    <w:rsid w:val="007E5CB7"/>
    <w:rsid w:val="007F205D"/>
    <w:rsid w:val="008314D2"/>
    <w:rsid w:val="0083299D"/>
    <w:rsid w:val="00870F6F"/>
    <w:rsid w:val="008B2F42"/>
    <w:rsid w:val="008C3697"/>
    <w:rsid w:val="008E185F"/>
    <w:rsid w:val="008F023B"/>
    <w:rsid w:val="00904E16"/>
    <w:rsid w:val="009162B3"/>
    <w:rsid w:val="00927C62"/>
    <w:rsid w:val="0094665C"/>
    <w:rsid w:val="00976EA5"/>
    <w:rsid w:val="009829DD"/>
    <w:rsid w:val="00983951"/>
    <w:rsid w:val="00984124"/>
    <w:rsid w:val="00984640"/>
    <w:rsid w:val="00990549"/>
    <w:rsid w:val="00995C37"/>
    <w:rsid w:val="009C118A"/>
    <w:rsid w:val="00A02011"/>
    <w:rsid w:val="00A17F37"/>
    <w:rsid w:val="00A4011E"/>
    <w:rsid w:val="00A812F4"/>
    <w:rsid w:val="00A815C0"/>
    <w:rsid w:val="00A832F2"/>
    <w:rsid w:val="00A86015"/>
    <w:rsid w:val="00A9594E"/>
    <w:rsid w:val="00AE59C8"/>
    <w:rsid w:val="00B10098"/>
    <w:rsid w:val="00B27DEE"/>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A2ECD"/>
    <w:rsid w:val="00CB187A"/>
    <w:rsid w:val="00CB3998"/>
    <w:rsid w:val="00CB7177"/>
    <w:rsid w:val="00CC0EC7"/>
    <w:rsid w:val="00CC251A"/>
    <w:rsid w:val="00CD223E"/>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3729"/>
    <w:rsid w:val="00E058D3"/>
    <w:rsid w:val="00E12CA0"/>
    <w:rsid w:val="00E20583"/>
    <w:rsid w:val="00E2236D"/>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F8F51-0B38-4BE6-9946-B03097C3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2982</Words>
  <Characters>15404</Characters>
  <Application>Microsoft Office Word</Application>
  <DocSecurity>0</DocSecurity>
  <Lines>373</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6, 2021) - South Carolina Legislature Online</dc:title>
  <dc:subject/>
  <dc:creator>Sara Parrish</dc:creator>
  <cp:keywords/>
  <dc:description/>
  <cp:lastModifiedBy>Brent Walling</cp:lastModifiedBy>
  <cp:revision>2</cp:revision>
  <cp:lastPrinted>2020-12-01T17:06:00Z</cp:lastPrinted>
  <dcterms:created xsi:type="dcterms:W3CDTF">2021-05-07T00:55:00Z</dcterms:created>
  <dcterms:modified xsi:type="dcterms:W3CDTF">2021-05-07T00:55:00Z</dcterms:modified>
</cp:coreProperties>
</file>