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9B100" w14:textId="5F77B41A" w:rsidR="00FB3D17"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0D27C062" w14:textId="3F5C0E29" w:rsidR="00195EFF"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2022</w:t>
      </w:r>
    </w:p>
    <w:p w14:paraId="39931694" w14:textId="37716CC8" w:rsidR="00195EFF"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66F6AC" w14:textId="5378A789" w:rsidR="00195EFF" w:rsidRPr="00195EFF" w:rsidRDefault="00195EFF" w:rsidP="00195EFF">
      <w:pPr>
        <w:tabs>
          <w:tab w:val="right" w:pos="5933"/>
        </w:tabs>
        <w:suppressAutoHyphens/>
        <w:jc w:val="both"/>
        <w:rPr>
          <w:rFonts w:eastAsia="Times New Roman"/>
        </w:rPr>
      </w:pPr>
      <w:r>
        <w:rPr>
          <w:rFonts w:eastAsia="Times New Roman"/>
        </w:rPr>
        <w:tab/>
      </w:r>
      <w:r>
        <w:rPr>
          <w:rFonts w:eastAsia="Times New Roman"/>
          <w:b/>
          <w:sz w:val="36"/>
        </w:rPr>
        <w:t>S. 152</w:t>
      </w:r>
    </w:p>
    <w:p w14:paraId="5108FA48" w14:textId="37F2F9CD" w:rsidR="00195EFF"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65F9AC" w14:textId="2E1ABDF1" w:rsidR="00195EFF"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Campsen, Goldfinch, Senn, M. Johnson, Hutto, Malloy, Harpootlian, Cromer, Matthews, K. Johnson, Rice, Hembree, Scott, Climer and Kimpson</w:t>
      </w:r>
    </w:p>
    <w:p w14:paraId="131FE2F7" w14:textId="664F6A27" w:rsidR="00195EFF"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A857E7" w14:textId="4B3E9D0A" w:rsidR="00195EFF"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5/11/22--H.</w:t>
      </w:r>
    </w:p>
    <w:p w14:paraId="3C1B720F" w14:textId="2864D6EA" w:rsidR="00195EFF"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2021.</w:t>
      </w:r>
    </w:p>
    <w:p w14:paraId="4C9B7461" w14:textId="2426BAA8" w:rsidR="00195EFF" w:rsidRPr="00195EFF" w:rsidRDefault="00195EFF" w:rsidP="0019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737282" w14:textId="41BCF27A" w:rsidR="00195EFF"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F19CD" w14:textId="77777777" w:rsidR="00195EFF" w:rsidRPr="00CD223E" w:rsidRDefault="00195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5EFF" w:rsidRPr="00CD223E" w:rsidSect="00976EA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A327E" w14:textId="109C936A" w:rsidR="00D47FAC" w:rsidRPr="00CD223E"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3F2C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CD223E"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CD223E">
        <w:rPr>
          <w:rFonts w:eastAsia="Times New Roman"/>
          <w:b/>
          <w:sz w:val="30"/>
          <w:szCs w:val="30"/>
        </w:rPr>
        <w:t xml:space="preserve">A </w:t>
      </w:r>
      <w:bookmarkStart w:id="1" w:name="whattype"/>
      <w:bookmarkEnd w:id="1"/>
      <w:r w:rsidR="007F205D" w:rsidRPr="00CD223E">
        <w:rPr>
          <w:rFonts w:eastAsia="Times New Roman"/>
          <w:b/>
          <w:sz w:val="30"/>
          <w:szCs w:val="30"/>
        </w:rPr>
        <w:t>BILL</w:t>
      </w:r>
    </w:p>
    <w:p w14:paraId="4D9DA3D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Pr="00CD223E"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D223E">
        <w:rPr>
          <w:rFonts w:eastAsia="Times New Roman"/>
        </w:rPr>
        <w:t>TO ENACT THE “COUNTY GREEN</w:t>
      </w:r>
      <w:r w:rsidR="00E20583" w:rsidRPr="00CD223E">
        <w:rPr>
          <w:rFonts w:eastAsia="Times New Roman"/>
        </w:rPr>
        <w:t xml:space="preserve"> </w:t>
      </w:r>
      <w:r w:rsidRPr="00CD223E">
        <w:rPr>
          <w:rFonts w:eastAsia="Times New Roman"/>
        </w:rPr>
        <w:t xml:space="preserve">SPACE SALES TAX ACT”; </w:t>
      </w:r>
      <w:r w:rsidR="00C87404" w:rsidRPr="00CD223E">
        <w:rPr>
          <w:rFonts w:eastAsia="Times New Roman"/>
        </w:rPr>
        <w:t>TO AMEND CHAPTER 10, TITLE 4 OF THE 1976 CODE, RELATING TO COUNTY LOCAL SALES AND USE TAX</w:t>
      </w:r>
      <w:r w:rsidR="003A5E89" w:rsidRPr="00CD223E">
        <w:rPr>
          <w:rFonts w:eastAsia="Times New Roman"/>
        </w:rPr>
        <w:t>ES</w:t>
      </w:r>
      <w:r w:rsidR="00C87404" w:rsidRPr="00CD223E">
        <w:rPr>
          <w:rFonts w:eastAsia="Times New Roman"/>
        </w:rPr>
        <w:t>, BY ADDING ARTICLE 10</w:t>
      </w:r>
      <w:r w:rsidR="003A5E89" w:rsidRPr="00CD223E">
        <w:rPr>
          <w:rFonts w:eastAsia="Times New Roman"/>
        </w:rPr>
        <w:t>,</w:t>
      </w:r>
      <w:r w:rsidR="00C87404" w:rsidRPr="00CD223E">
        <w:rPr>
          <w:rFonts w:eastAsia="Times New Roman"/>
        </w:rPr>
        <w:t xml:space="preserve"> TO CREATE THE COUNTY GREEN</w:t>
      </w:r>
      <w:r w:rsidR="00E20583" w:rsidRPr="00CD223E">
        <w:rPr>
          <w:rFonts w:eastAsia="Times New Roman"/>
        </w:rPr>
        <w:t xml:space="preserve"> </w:t>
      </w:r>
      <w:r w:rsidR="00C87404" w:rsidRPr="00CD223E">
        <w:rPr>
          <w:rFonts w:eastAsia="Times New Roman"/>
        </w:rPr>
        <w:t>SPACE SALES TAX</w:t>
      </w:r>
      <w:r w:rsidRPr="00CD223E">
        <w:rPr>
          <w:rFonts w:eastAsia="Times New Roman"/>
        </w:rPr>
        <w:t>,</w:t>
      </w:r>
      <w:r w:rsidR="00C87404" w:rsidRPr="00CD223E">
        <w:rPr>
          <w:rFonts w:eastAsia="Times New Roman"/>
        </w:rPr>
        <w:t xml:space="preserve"> TO IMPOSE THE TAX</w:t>
      </w:r>
      <w:r w:rsidRPr="00CD223E">
        <w:rPr>
          <w:rFonts w:eastAsia="Times New Roman"/>
        </w:rPr>
        <w:t>,</w:t>
      </w:r>
      <w:r w:rsidR="00C87404" w:rsidRPr="00CD223E">
        <w:rPr>
          <w:rFonts w:eastAsia="Times New Roman"/>
        </w:rPr>
        <w:t xml:space="preserve"> TO PROVIDE FOR THE CONTENTS OF THE BALLOT AND THE PURPOSE FOR WHICH TAX PROCEEDS MAY BE USED</w:t>
      </w:r>
      <w:r w:rsidRPr="00CD223E">
        <w:rPr>
          <w:rFonts w:eastAsia="Times New Roman"/>
        </w:rPr>
        <w:t>,</w:t>
      </w:r>
      <w:r w:rsidR="00C87404" w:rsidRPr="00CD223E">
        <w:rPr>
          <w:rFonts w:eastAsia="Times New Roman"/>
        </w:rPr>
        <w:t xml:space="preserve"> TO PROVIDE FOR THE IMPOSITION AND TERMINATION OF THE TAX</w:t>
      </w:r>
      <w:r w:rsidRPr="00CD223E">
        <w:rPr>
          <w:rFonts w:eastAsia="Times New Roman"/>
        </w:rPr>
        <w:t>,</w:t>
      </w:r>
      <w:r w:rsidR="00C87404" w:rsidRPr="00CD223E">
        <w:rPr>
          <w:rFonts w:eastAsia="Times New Roman"/>
        </w:rPr>
        <w:t xml:space="preserve"> TO PROVIDE THAT THE DEPARTMENT OF REVENUE SHALL ADMINISTER AND COLLECT THE TAX</w:t>
      </w:r>
      <w:r w:rsidRPr="00CD223E">
        <w:rPr>
          <w:rFonts w:eastAsia="Times New Roman"/>
        </w:rPr>
        <w:t>,</w:t>
      </w:r>
      <w:r w:rsidR="00C87404" w:rsidRPr="00CD223E">
        <w:rPr>
          <w:rFonts w:eastAsia="Times New Roman"/>
        </w:rPr>
        <w:t xml:space="preserve"> TO PROVIDE FOR DISTRIBUTIONS TO COUNTIES AND CONFIDENTIALITY</w:t>
      </w:r>
      <w:r w:rsidRPr="00CD223E">
        <w:rPr>
          <w:rFonts w:eastAsia="Times New Roman"/>
        </w:rPr>
        <w:t>,</w:t>
      </w:r>
      <w:r w:rsidR="00C87404" w:rsidRPr="00CD223E">
        <w:rPr>
          <w:rFonts w:eastAsia="Times New Roman"/>
        </w:rPr>
        <w:t xml:space="preserve"> AND TO PROVIDE FOR UNIDENTIFIED FUNDS, TRANSFERS</w:t>
      </w:r>
      <w:r w:rsidR="003A5E89" w:rsidRPr="00CD223E">
        <w:rPr>
          <w:rFonts w:eastAsia="Times New Roman"/>
        </w:rPr>
        <w:t>,</w:t>
      </w:r>
      <w:r w:rsidR="00C87404" w:rsidRPr="00CD223E">
        <w:rPr>
          <w:rFonts w:eastAsia="Times New Roman"/>
        </w:rPr>
        <w:t xml:space="preserve"> AND SUPPLEMENTAL DISTRIBUTIONS.</w:t>
      </w:r>
    </w:p>
    <w:p w14:paraId="6ED941F0" w14:textId="4A1714D5" w:rsidR="000D049F" w:rsidRDefault="008C4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14:paraId="634ED2AA" w14:textId="77777777" w:rsidR="008C425A" w:rsidRPr="00CD223E" w:rsidRDefault="008C4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3AB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 is blessed with a broad array of natural resources, from the Blue Ridge Escarpment in the Upstate, to the sandhills of the Midlands, to the farmland and woodlands of the Pee Dee, and to the iconic shoreline and mashes of the coastal plain; and </w:t>
      </w:r>
    </w:p>
    <w:p w14:paraId="2B95CE7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EDBF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coastal geography consists of 187 miles of oceanfront shoreline and 2,876 miles of tidal shorelines, and includes 500,000 acres of salt marshes that represent twenty percent of all the salt marshes on the United States’ Atlantic coast, all of which underpin extensive recreational and commercial fisheries, thriving coastal tourism, important maritime industries, and critical natural defenses for people against storms; and</w:t>
      </w:r>
    </w:p>
    <w:p w14:paraId="13EA3F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8723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Upstate consists of the 10,000 acre Mountain Bridge Wilderness Area that encompasses the Blue Ridge Escarpment and its vast array of waterfalls, hardwood forests, </w:t>
      </w:r>
      <w:r w:rsidRPr="00CD223E">
        <w:rPr>
          <w:color w:val="000000" w:themeColor="text1"/>
          <w:u w:color="000000" w:themeColor="text1"/>
        </w:rPr>
        <w:lastRenderedPageBreak/>
        <w:t>headwaters, and mountain streams, as well as a diversity of plant and animal life, including the exceptionally rare and endangered bunched arrowhead; and</w:t>
      </w:r>
    </w:p>
    <w:p w14:paraId="075D50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D9146E" w14:textId="4AA9620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Midlands region is home to the sandhills and longleaf pine habitat, which supports over 30 threatened or endangered plant and animal species, including </w:t>
      </w:r>
      <w:r w:rsidR="00E02431">
        <w:rPr>
          <w:color w:val="000000" w:themeColor="text1"/>
          <w:u w:color="000000" w:themeColor="text1"/>
        </w:rPr>
        <w:t xml:space="preserve">the </w:t>
      </w:r>
      <w:r w:rsidRPr="00CD223E">
        <w:rPr>
          <w:color w:val="000000" w:themeColor="text1"/>
          <w:u w:color="000000" w:themeColor="text1"/>
        </w:rPr>
        <w:t>red</w:t>
      </w:r>
      <w:r w:rsidRPr="00CD223E">
        <w:rPr>
          <w:color w:val="000000" w:themeColor="text1"/>
          <w:u w:color="000000" w:themeColor="text1"/>
        </w:rPr>
        <w:noBreakHyphen/>
        <w:t>cockaded woodpecker; and</w:t>
      </w:r>
    </w:p>
    <w:p w14:paraId="1FF18A2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4D5A2D" w14:textId="243E9F9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Pee Dee is a region with rich geographic variations, including deep woodlands, a patchwork of timber forests and agricultural fields, black</w:t>
      </w:r>
      <w:r w:rsidRPr="00CD223E">
        <w:rPr>
          <w:color w:val="000000" w:themeColor="text1"/>
          <w:u w:color="000000" w:themeColor="text1"/>
        </w:rPr>
        <w:noBreakHyphen/>
        <w:t xml:space="preserve">water swamps and creeks that intermingle with red rivers and high bluffs, historic sites, and one of the most productive agricultural areas in the </w:t>
      </w:r>
      <w:r w:rsidR="00E02431">
        <w:rPr>
          <w:color w:val="000000" w:themeColor="text1"/>
          <w:u w:color="000000" w:themeColor="text1"/>
        </w:rPr>
        <w:t>S</w:t>
      </w:r>
      <w:r w:rsidRPr="00CD223E">
        <w:rPr>
          <w:color w:val="000000" w:themeColor="text1"/>
          <w:u w:color="000000" w:themeColor="text1"/>
        </w:rPr>
        <w:t xml:space="preserve">tate; and </w:t>
      </w:r>
    </w:p>
    <w:p w14:paraId="028934B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B6EA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quality of life of all South Carolinians is tied to conservation, with homes, businesses, and recreation being drawn to areas with abundant and accessible green space and natural areas; and</w:t>
      </w:r>
    </w:p>
    <w:p w14:paraId="584485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57D35B58" w14:textId="3BD8B7D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according to the Census Bureau, South Carolina is the tenth</w:t>
      </w:r>
      <w:r w:rsidRPr="00CD223E">
        <w:rPr>
          <w:color w:val="000000" w:themeColor="text1"/>
          <w:u w:color="000000" w:themeColor="text1"/>
        </w:rPr>
        <w:noBreakHyphen/>
        <w:t>fastest</w:t>
      </w:r>
      <w:r w:rsidRPr="00CD223E">
        <w:rPr>
          <w:color w:val="000000" w:themeColor="text1"/>
          <w:u w:color="000000" w:themeColor="text1"/>
        </w:rPr>
        <w:noBreakHyphen/>
        <w:t xml:space="preserve">growing </w:t>
      </w:r>
      <w:r w:rsidR="00E02431">
        <w:rPr>
          <w:color w:val="000000" w:themeColor="text1"/>
          <w:u w:color="000000" w:themeColor="text1"/>
        </w:rPr>
        <w:t>S</w:t>
      </w:r>
      <w:r w:rsidRPr="00CD223E">
        <w:rPr>
          <w:color w:val="000000" w:themeColor="text1"/>
          <w:u w:color="000000" w:themeColor="text1"/>
        </w:rPr>
        <w:t xml:space="preserve">tate in the </w:t>
      </w:r>
      <w:r w:rsidR="00E02431">
        <w:rPr>
          <w:color w:val="000000" w:themeColor="text1"/>
          <w:u w:color="000000" w:themeColor="text1"/>
        </w:rPr>
        <w:t>N</w:t>
      </w:r>
      <w:r w:rsidRPr="00CD223E">
        <w:rPr>
          <w:color w:val="000000" w:themeColor="text1"/>
          <w:u w:color="000000" w:themeColor="text1"/>
        </w:rPr>
        <w:t>ation, and in particular, the State contains a number of the fastest</w:t>
      </w:r>
      <w:r w:rsidRPr="00CD223E">
        <w:rPr>
          <w:color w:val="000000" w:themeColor="text1"/>
          <w:u w:color="000000" w:themeColor="text1"/>
        </w:rPr>
        <w:noBreakHyphen/>
        <w:t>growing metropolitan areas in the nation, including Myrtle Beach, York County, and Charleston, and is projected in the coming years to continue experiencing steady population growth and the expansion of urban and suburban land uses; and</w:t>
      </w:r>
    </w:p>
    <w:p w14:paraId="6264354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5CDDB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szCs w:val="20"/>
          <w:u w:color="000000" w:themeColor="text1"/>
        </w:rPr>
        <w:t xml:space="preserve">Whereas, </w:t>
      </w:r>
      <w:r w:rsidRPr="00CD223E">
        <w:rPr>
          <w:color w:val="000000" w:themeColor="text1"/>
          <w:u w:color="000000" w:themeColor="text1"/>
        </w:rPr>
        <w:t>studies conducted by City Explained suggest that the amount of developed land in some regions of South Carolina will increase by 250% by 2040 if current development trends continue; and</w:t>
      </w:r>
    </w:p>
    <w:p w14:paraId="3AB308D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01677CB3" w14:textId="26B18A5A"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although this rapid growth will bring prosperity and new opportunities to South Carolina, it will also put additional pressures on our </w:t>
      </w:r>
      <w:r w:rsidR="00E02431">
        <w:rPr>
          <w:color w:val="000000" w:themeColor="text1"/>
          <w:u w:color="000000" w:themeColor="text1"/>
        </w:rPr>
        <w:t>s</w:t>
      </w:r>
      <w:r w:rsidRPr="00CD223E">
        <w:rPr>
          <w:color w:val="000000" w:themeColor="text1"/>
          <w:u w:color="000000" w:themeColor="text1"/>
        </w:rPr>
        <w:t>tate’s lands and waters, in that the development and the accompanying infrastructure will result in the destruction of natural wetlands, marshes, headwaters, and other waterways, thereby hampering the functioning of these systems and eliminating valuable and effective natural storm protection and flood abatement, and fish and wildlife habitat; and</w:t>
      </w:r>
    </w:p>
    <w:p w14:paraId="59BC4117" w14:textId="77777777" w:rsidR="003A7958" w:rsidRPr="00CD223E" w:rsidRDefault="003A7958" w:rsidP="008C425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Whereas, this growth increases the amount of impervious surfaces throughout our State, which in turn creates new runoff and carries pollutants into our waterways. For example, a 2019 study found that development in the Town of Bluffton has increased levels of fecal coliform in the May River 3,150% since 1999 and Upstate studies found that sediment from land development is a leading cause of water quality degradation, resulting in flooding, increased costs for drinking water treatment, and harm to aquatic life; and</w:t>
      </w:r>
    </w:p>
    <w:p w14:paraId="2619EAB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4D724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there are significant economic benefits that result from protecting land, including tourism and recreation; and</w:t>
      </w:r>
    </w:p>
    <w:p w14:paraId="7524D4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0A1DA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farmland protection helps promote agritourism and boost the local food economy, as demonstrated by a 2013 SC Department of Agriculture study that found that if every South Carolina resident purchased $5 worth of food each week directly from a farmer in the State the potential impact would be about $1.2 billion; and</w:t>
      </w:r>
    </w:p>
    <w:p w14:paraId="1C1FA1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92CA6D" w14:textId="5C278EC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Southeast United States coast has experienced some of the highest rates of sea</w:t>
      </w:r>
      <w:r w:rsidR="00E02431">
        <w:rPr>
          <w:color w:val="000000" w:themeColor="text1"/>
          <w:u w:color="000000" w:themeColor="text1"/>
        </w:rPr>
        <w:t xml:space="preserve"> </w:t>
      </w:r>
      <w:r w:rsidRPr="00CD223E">
        <w:rPr>
          <w:color w:val="000000" w:themeColor="text1"/>
          <w:u w:color="000000" w:themeColor="text1"/>
        </w:rPr>
        <w:t>level rise and coastal flooding in the world, with some areas losing as much as three feet of bank each year, and additional sea</w:t>
      </w:r>
      <w:r w:rsidR="00E02431">
        <w:rPr>
          <w:color w:val="000000" w:themeColor="text1"/>
          <w:u w:color="000000" w:themeColor="text1"/>
        </w:rPr>
        <w:t xml:space="preserve"> </w:t>
      </w:r>
      <w:r w:rsidRPr="00CD223E">
        <w:rPr>
          <w:color w:val="000000" w:themeColor="text1"/>
          <w:u w:color="000000" w:themeColor="text1"/>
        </w:rPr>
        <w:t>level rises and coastal flooding will adversely impact existing residential and commercial uses on our State’s coast and has been cited by the United States Department of Defense as a threat to the viability of the Marine Corps Recruit Depot Parris Island, which employs 6,100 people and has an annual economic impact of $739.8 million; and</w:t>
      </w:r>
    </w:p>
    <w:p w14:paraId="0E6C71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03E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flooding has significantly affected South Carolina’s inland communities, with over 80 dam failures from 2015 to 2018 resulting from extreme weather and flooding that our riverine systems and floodplains were unable to attenuate, leading to significant impacts on transportation and drinking water infrastructure and the loss of homes, livelihoods, and lives; and</w:t>
      </w:r>
    </w:p>
    <w:p w14:paraId="48BC90D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0CDBAD" w14:textId="0C3488C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the topography of our </w:t>
      </w:r>
      <w:r w:rsidR="00E02431">
        <w:rPr>
          <w:color w:val="000000" w:themeColor="text1"/>
          <w:u w:color="000000" w:themeColor="text1"/>
        </w:rPr>
        <w:t>S</w:t>
      </w:r>
      <w:r w:rsidRPr="00CD223E">
        <w:rPr>
          <w:color w:val="000000" w:themeColor="text1"/>
          <w:u w:color="000000" w:themeColor="text1"/>
        </w:rPr>
        <w:t>tate, whether the low</w:t>
      </w:r>
      <w:r w:rsidRPr="00CD223E">
        <w:rPr>
          <w:color w:val="000000" w:themeColor="text1"/>
          <w:u w:color="000000" w:themeColor="text1"/>
        </w:rPr>
        <w:noBreakHyphen/>
        <w:t xml:space="preserve">lying topography of our coastal areas or the small incised streams of the Upstate prone to flash flooding and erosion, our </w:t>
      </w:r>
      <w:r w:rsidR="00E02431">
        <w:rPr>
          <w:color w:val="000000" w:themeColor="text1"/>
          <w:u w:color="000000" w:themeColor="text1"/>
        </w:rPr>
        <w:t>s</w:t>
      </w:r>
      <w:r w:rsidRPr="00CD223E">
        <w:rPr>
          <w:color w:val="000000" w:themeColor="text1"/>
          <w:u w:color="000000" w:themeColor="text1"/>
        </w:rPr>
        <w:t xml:space="preserve">tate’s development patterns makes our communities highly vulnerable to inland and riverine flooding if the flow of rainwater runoff is greater than the carrying capacities of the natural drainage systems, and over the past six years, major flooding and storm events have caused over one billion dollars in total damages to residential and commercial </w:t>
      </w:r>
      <w:r w:rsidRPr="00CD223E">
        <w:rPr>
          <w:color w:val="000000" w:themeColor="text1"/>
          <w:u w:color="000000" w:themeColor="text1"/>
        </w:rPr>
        <w:lastRenderedPageBreak/>
        <w:t xml:space="preserve">properties and have imposed substantial burdens on South Carolina taxpayers through </w:t>
      </w:r>
      <w:r w:rsidR="00E02431">
        <w:rPr>
          <w:color w:val="000000" w:themeColor="text1"/>
          <w:u w:color="000000" w:themeColor="text1"/>
        </w:rPr>
        <w:t>g</w:t>
      </w:r>
      <w:r w:rsidRPr="00CD223E">
        <w:rPr>
          <w:color w:val="000000" w:themeColor="text1"/>
          <w:u w:color="000000" w:themeColor="text1"/>
        </w:rPr>
        <w:t xml:space="preserve">eneral </w:t>
      </w:r>
      <w:r w:rsidR="00E02431">
        <w:rPr>
          <w:color w:val="000000" w:themeColor="text1"/>
          <w:u w:color="000000" w:themeColor="text1"/>
        </w:rPr>
        <w:t>f</w:t>
      </w:r>
      <w:r w:rsidRPr="00CD223E">
        <w:rPr>
          <w:color w:val="000000" w:themeColor="text1"/>
          <w:u w:color="000000" w:themeColor="text1"/>
        </w:rPr>
        <w:t>und disbursements; and</w:t>
      </w:r>
    </w:p>
    <w:p w14:paraId="7EC41566" w14:textId="77777777" w:rsidR="008C425A"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4EE1D1" w14:textId="74CD3055" w:rsidR="003A7958" w:rsidRPr="00CD223E" w:rsidRDefault="003A7958"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an effective way to avoid incurring such liabilities is to limit development within the floodplain and in areas that are at significant risk from sea level rise and flooding, and there is a need to empower local governments to undertake land preservation efforts that are supportive of, respectful to, and consistent with the principle of private property rights, as opposed to limiting them to the use of traditional land use regulations, which, in order to attain the necessary level of relief, could give rise to inverse condemnation claims; and</w:t>
      </w:r>
    </w:p>
    <w:p w14:paraId="6039C9F8" w14:textId="77777777" w:rsidR="003A7958" w:rsidRPr="00CD223E" w:rsidRDefault="003A7958"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45419" w14:textId="24060E08" w:rsidR="00CA2ECD"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counties in South Carolina have implemented local land conservation programs, including, but not limited to, Beaufort County’s Rural and Critical Lands Program, Charleston County’s Greenbelt Program, Greenville County’s Historic and Natural Resources Trust Initiative, the Oconee County Conservation Bank, and extensive parks and greenspace funding efforts in York County, indicating that such programs enjoy overwhelming public support in all corners of the State. Now, therefore,</w:t>
      </w:r>
    </w:p>
    <w:p w14:paraId="481B1DD2"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5353D9DA"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Be it enacted by the General Assembly of the State of South Carolina:</w:t>
      </w:r>
    </w:p>
    <w:p w14:paraId="52D974DC"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A19F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SECTION</w:t>
      </w:r>
      <w:r w:rsidRPr="00CD223E">
        <w:rPr>
          <w:rFonts w:eastAsia="Times New Roman"/>
        </w:rPr>
        <w:tab/>
        <w:t>1.</w:t>
      </w:r>
      <w:r w:rsidRPr="00CD223E">
        <w:rPr>
          <w:rFonts w:eastAsia="Times New Roman"/>
        </w:rPr>
        <w:tab/>
      </w:r>
      <w:r w:rsidRPr="00CD223E">
        <w:rPr>
          <w:color w:val="000000" w:themeColor="text1"/>
          <w:u w:color="000000" w:themeColor="text1"/>
        </w:rPr>
        <w:t>This act must be known and may be cited as the “County Green Space Sales Tax Act”.</w:t>
      </w:r>
    </w:p>
    <w:p w14:paraId="5D02BB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5C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2.</w:t>
      </w:r>
      <w:r w:rsidRPr="00CD223E">
        <w:rPr>
          <w:rFonts w:eastAsia="Times New Roman"/>
        </w:rPr>
        <w:tab/>
        <w:t>Chapter 10, Title 4 of the 1976 Code is amended by adding:</w:t>
      </w:r>
    </w:p>
    <w:p w14:paraId="09E51E4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14:paraId="35C8829C"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“ARTICLE 10</w:t>
      </w:r>
    </w:p>
    <w:p w14:paraId="6847603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29A50"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County Green Space Sales Tax</w:t>
      </w:r>
    </w:p>
    <w:p w14:paraId="3726A65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8F33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D223E">
        <w:rPr>
          <w:rFonts w:eastAsia="Times New Roman"/>
        </w:rPr>
        <w:tab/>
        <w:t>Section 4-10-1010.</w:t>
      </w:r>
      <w:r w:rsidRPr="00CD223E">
        <w:rPr>
          <w:rFonts w:eastAsia="Times New Roman"/>
        </w:rPr>
        <w:tab/>
        <w:t>(A)</w:t>
      </w:r>
      <w:r w:rsidRPr="00CD223E">
        <w:rPr>
          <w:rFonts w:eastAsia="Times New Roman"/>
        </w:rPr>
        <w:tab/>
        <w:t xml:space="preserve">For the purposes of this article, </w:t>
      </w:r>
      <w:r w:rsidRPr="00CD223E">
        <w:t xml:space="preserve">‘preservation procurements’ means </w:t>
      </w:r>
      <w:r w:rsidRPr="00CD223E">
        <w:rPr>
          <w:color w:val="000000" w:themeColor="text1"/>
          <w:u w:color="000000" w:themeColor="text1"/>
        </w:rPr>
        <w:t>procuring open lands or green space for preservation, by and through the acquisition of interests in real property, including:</w:t>
      </w:r>
    </w:p>
    <w:p w14:paraId="182725A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acquisition of fee simple titles;</w:t>
      </w:r>
    </w:p>
    <w:p w14:paraId="30DC32A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conservation easements;</w:t>
      </w:r>
    </w:p>
    <w:p w14:paraId="0A8F6F2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development rights;</w:t>
      </w:r>
    </w:p>
    <w:p w14:paraId="3BA91AF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rights of first refusal;</w:t>
      </w:r>
    </w:p>
    <w:p w14:paraId="617D4F9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ab/>
      </w:r>
      <w:r w:rsidRPr="00CD223E">
        <w:rPr>
          <w:color w:val="000000" w:themeColor="text1"/>
          <w:u w:color="000000" w:themeColor="text1"/>
        </w:rPr>
        <w:tab/>
        <w:t>(5)</w:t>
      </w:r>
      <w:r w:rsidRPr="00CD223E">
        <w:rPr>
          <w:color w:val="000000" w:themeColor="text1"/>
          <w:u w:color="000000" w:themeColor="text1"/>
        </w:rPr>
        <w:tab/>
        <w:t>options;</w:t>
      </w:r>
    </w:p>
    <w:p w14:paraId="1F638BC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(6)</w:t>
      </w:r>
      <w:r w:rsidRPr="00CD223E">
        <w:rPr>
          <w:color w:val="000000" w:themeColor="text1"/>
          <w:u w:color="000000" w:themeColor="text1"/>
        </w:rPr>
        <w:tab/>
        <w:t>leases with options to purchase; and</w:t>
      </w:r>
    </w:p>
    <w:p w14:paraId="48F734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(7)</w:t>
      </w:r>
      <w:r w:rsidRPr="00CD223E">
        <w:rPr>
          <w:color w:val="000000" w:themeColor="text1"/>
          <w:u w:color="000000" w:themeColor="text1"/>
        </w:rPr>
        <w:tab/>
        <w:t>any other interests in real property.</w:t>
      </w:r>
    </w:p>
    <w:p w14:paraId="4EB55E4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(B)(1)</w:t>
      </w:r>
      <w:r w:rsidRPr="00CD223E">
        <w:rPr>
          <w:rFonts w:eastAsia="Times New Roman"/>
        </w:rPr>
        <w:tab/>
      </w:r>
      <w:r w:rsidRPr="00CD223E">
        <w:rPr>
          <w:color w:val="000000" w:themeColor="text1"/>
          <w:u w:color="000000" w:themeColor="text1"/>
        </w:rPr>
        <w:t>Subject to the requirements of this article, a county’s governing body may impose a sales and use tax by ordinance, subject to a referendum, within the county area for preservation procurements.</w:t>
      </w:r>
    </w:p>
    <w:p w14:paraId="1EEFAEC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Revenues collected pursuant to this article may be used to defray debt service on bonds issued to pay for preservation procurements authorized in this article. This authorization is in addition to any other locally imposed sales and use taxes.</w:t>
      </w:r>
    </w:p>
    <w:p w14:paraId="6C0FE27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FDCA79" w14:textId="77777777" w:rsidR="008C425A" w:rsidRPr="008439E3" w:rsidRDefault="003A7958"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D223E">
        <w:rPr>
          <w:rFonts w:eastAsia="Times New Roman"/>
        </w:rPr>
        <w:tab/>
      </w:r>
      <w:r w:rsidR="008C425A" w:rsidRPr="008439E3">
        <w:rPr>
          <w:rFonts w:eastAsia="Times New Roman"/>
        </w:rPr>
        <w:t>Section 4-10-1020.</w:t>
      </w:r>
      <w:r w:rsidR="008C425A" w:rsidRPr="008439E3">
        <w:rPr>
          <w:u w:color="000000" w:themeColor="text1"/>
        </w:rPr>
        <w:tab/>
        <w:t>(A)</w:t>
      </w:r>
      <w:r w:rsidR="008C425A" w:rsidRPr="008439E3">
        <w:rPr>
          <w:u w:color="000000" w:themeColor="text1"/>
        </w:rPr>
        <w:tab/>
        <w:t>A county governing body may impose a sales and use tax up to one percent authorized by this article, by ordinance, subject to a referendum. An enacting ordinance must specify:</w:t>
      </w:r>
    </w:p>
    <w:p w14:paraId="644D66C9"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(1)</w:t>
      </w:r>
      <w:r w:rsidRPr="008439E3">
        <w:rPr>
          <w:u w:color="000000" w:themeColor="text1"/>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086D1D44"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(2)</w:t>
      </w:r>
      <w:r w:rsidRPr="008439E3">
        <w:rPr>
          <w:u w:color="000000" w:themeColor="text1"/>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5D0870ED"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(3)</w:t>
      </w:r>
      <w:r w:rsidRPr="008439E3">
        <w:rPr>
          <w:u w:color="000000" w:themeColor="text1"/>
        </w:rPr>
        <w:tab/>
        <w:t>the maximum cost of the preservation procurements, to be funded from the proceeds of the tax or bonds issued as provided in this article and the maximum amount of net proceeds expected to be used to pay the cost or debt service on the bonds, as the case may be; and</w:t>
      </w:r>
    </w:p>
    <w:p w14:paraId="37CF2A1D" w14:textId="27E108EB" w:rsidR="003A7958" w:rsidRPr="00CD223E"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9E3">
        <w:rPr>
          <w:u w:color="000000" w:themeColor="text1"/>
        </w:rPr>
        <w:tab/>
      </w:r>
      <w:r w:rsidRPr="008439E3">
        <w:rPr>
          <w:u w:color="000000" w:themeColor="text1"/>
        </w:rPr>
        <w:tab/>
        <w:t>(4)</w:t>
      </w:r>
      <w:r w:rsidRPr="008439E3">
        <w:rPr>
          <w:u w:color="000000" w:themeColor="text1"/>
        </w:rPr>
        <w:tab/>
        <w:t>the fact that preservation procurements may pertain to real property situated outside of the boundaries of the taxing jurisdiction.</w:t>
      </w:r>
    </w:p>
    <w:p w14:paraId="46256043" w14:textId="77777777" w:rsidR="00922534" w:rsidRDefault="003A7958" w:rsidP="0092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00922534" w:rsidRPr="007E5EDA">
        <w:rPr>
          <w:color w:val="000000" w:themeColor="text1"/>
          <w:u w:color="000000" w:themeColor="text1"/>
        </w:rPr>
        <w:t>(B)</w:t>
      </w:r>
      <w:r w:rsidR="00922534" w:rsidRPr="007E5EDA">
        <w:rPr>
          <w:color w:val="000000" w:themeColor="text1"/>
          <w:u w:color="000000" w:themeColor="text1"/>
        </w:rPr>
        <w:tab/>
        <w:t xml:space="preserve">Upon receipt of an ordinance, a county’s election commission must conduct a referendum on the question of imposing the sales and use tax in the area of the county that is to be subject to the tax. A referendum for imposition or reimposition of the tax must be held at the time of the next general election in an even-numbered year. Two weeks before a referendum, a county’s election commission must publish in a newspaper of general circulation the question that is to appear on the ballot, with a description of the methods by which the county’s governing body intends to procure </w:t>
      </w:r>
      <w:r w:rsidR="00922534" w:rsidRPr="007E5EDA">
        <w:rPr>
          <w:color w:val="000000" w:themeColor="text1"/>
          <w:u w:color="000000" w:themeColor="text1"/>
        </w:rPr>
        <w:lastRenderedPageBreak/>
        <w:t>open lands and green space for preservation. If the proposed question includes the use of sales taxes to defray debt service on bonds issued to pay the costs of any preservation procurements, then the notice must include a statement indicating the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7AAF4DC8" w14:textId="77777777" w:rsidR="008C425A" w:rsidRPr="008439E3" w:rsidRDefault="003A7958"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D223E">
        <w:rPr>
          <w:color w:val="000000" w:themeColor="text1"/>
          <w:u w:color="000000" w:themeColor="text1"/>
        </w:rPr>
        <w:tab/>
      </w:r>
      <w:r w:rsidR="008C425A" w:rsidRPr="008439E3">
        <w:rPr>
          <w:u w:color="000000" w:themeColor="text1"/>
        </w:rPr>
        <w:t>(C)</w:t>
      </w:r>
      <w:r w:rsidR="008C425A" w:rsidRPr="008439E3">
        <w:rPr>
          <w:u w:color="000000" w:themeColor="text1"/>
        </w:rPr>
        <w:tab/>
        <w:t>The referendum question to be on the ballot must read substantially as follows:</w:t>
      </w:r>
    </w:p>
    <w:p w14:paraId="3247F2D5"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t>‘Must a special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0D3BB4EA"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(a)</w:t>
      </w:r>
      <w:r w:rsidRPr="008439E3">
        <w:rPr>
          <w:u w:color="000000" w:themeColor="text1"/>
        </w:rPr>
        <w:tab/>
        <w:t>the acquisition of fee simple titles;</w:t>
      </w:r>
    </w:p>
    <w:p w14:paraId="46983F30"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(b)</w:t>
      </w:r>
      <w:r w:rsidRPr="008439E3">
        <w:rPr>
          <w:u w:color="000000" w:themeColor="text1"/>
        </w:rPr>
        <w:tab/>
        <w:t>conservation easements;</w:t>
      </w:r>
    </w:p>
    <w:p w14:paraId="59BCE788"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(c)</w:t>
      </w:r>
      <w:r w:rsidRPr="008439E3">
        <w:rPr>
          <w:u w:color="000000" w:themeColor="text1"/>
        </w:rPr>
        <w:tab/>
        <w:t>development rights;</w:t>
      </w:r>
    </w:p>
    <w:p w14:paraId="3F0B371B"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(d)</w:t>
      </w:r>
      <w:r w:rsidRPr="008439E3">
        <w:rPr>
          <w:u w:color="000000" w:themeColor="text1"/>
        </w:rPr>
        <w:tab/>
        <w:t>rights of first refusal;</w:t>
      </w:r>
    </w:p>
    <w:p w14:paraId="2C4DD376"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(e)</w:t>
      </w:r>
      <w:r w:rsidRPr="008439E3">
        <w:rPr>
          <w:u w:color="000000" w:themeColor="text1"/>
        </w:rPr>
        <w:tab/>
        <w:t>options;</w:t>
      </w:r>
    </w:p>
    <w:p w14:paraId="40B628BD"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(f)</w:t>
      </w:r>
      <w:r w:rsidRPr="008439E3">
        <w:rPr>
          <w:u w:color="000000" w:themeColor="text1"/>
        </w:rPr>
        <w:tab/>
        <w:t>leases with options to purchase; or</w:t>
      </w:r>
    </w:p>
    <w:p w14:paraId="2745B074"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39E3">
        <w:rPr>
          <w:u w:color="000000" w:themeColor="text1"/>
        </w:rPr>
        <w:tab/>
      </w:r>
      <w:r w:rsidRPr="008439E3">
        <w:rPr>
          <w:u w:color="000000" w:themeColor="text1"/>
        </w:rPr>
        <w:tab/>
        <w:t>(g)</w:t>
      </w:r>
      <w:r w:rsidRPr="008439E3">
        <w:rPr>
          <w:u w:color="000000" w:themeColor="text1"/>
        </w:rPr>
        <w:tab/>
        <w:t>any other interests in real property?</w:t>
      </w:r>
    </w:p>
    <w:p w14:paraId="2B08DBCB" w14:textId="77777777" w:rsidR="008C425A"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78F2B28" w14:textId="2500CEC3"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t>Yes</w:t>
      </w:r>
      <w:r>
        <w:rPr>
          <w:u w:color="000000" w:themeColor="text1"/>
        </w:rPr>
        <w:tab/>
      </w:r>
      <w:r w:rsidRPr="008439E3">
        <w:rPr>
          <w:u w:color="000000" w:themeColor="text1"/>
        </w:rPr>
        <w:t>[]</w:t>
      </w:r>
    </w:p>
    <w:p w14:paraId="0A776F48" w14:textId="77777777" w:rsidR="008C425A" w:rsidRPr="008439E3"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t>No</w:t>
      </w:r>
      <w:r>
        <w:rPr>
          <w:u w:color="000000" w:themeColor="text1"/>
        </w:rPr>
        <w:tab/>
      </w:r>
      <w:r w:rsidRPr="008439E3">
        <w:rPr>
          <w:u w:color="000000" w:themeColor="text1"/>
        </w:rPr>
        <w:t>[]’</w:t>
      </w:r>
    </w:p>
    <w:p w14:paraId="25640D91" w14:textId="77777777" w:rsidR="008C425A"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C7A0548" w14:textId="17BC1450" w:rsidR="003A7958" w:rsidRPr="00CD223E" w:rsidRDefault="008C425A" w:rsidP="008C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39E3">
        <w:rPr>
          <w:u w:color="000000" w:themeColor="text1"/>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p>
    <w:p w14:paraId="402952A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 xml:space="preserve">All qualified electors desiring to vote in favor of imposing the tax for the stated purposes shall vote ‘yes’, and all qualified electors opposed to levying the tax shall vote ‘no’. If a majority of the votes cast are in favor of imposing the tax, then the tax is imposed as provided in this article and the enacting ordinance. Any subsequent referendum on this question must be held on the date prescribed in subsection (B).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w:t>
      </w:r>
      <w:r w:rsidRPr="00CD223E">
        <w:rPr>
          <w:color w:val="000000" w:themeColor="text1"/>
          <w:u w:color="000000" w:themeColor="text1"/>
        </w:rPr>
        <w:lastRenderedPageBreak/>
        <w:t>governmental entities that would receive the proceeds of the tax in the same proportion as those entities would receive the net proceeds of the tax.</w:t>
      </w:r>
    </w:p>
    <w:p w14:paraId="0C55A78B" w14:textId="0A2BE667" w:rsidR="003A7958"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Upon receipt of the returns of a referendum, a county’s governing body must, by resolution, declare the results thereof. In such event, the results of the referendum, as declared by resolution of the county’s governing body, are not open to question except by a suit or proceeding instituted within thirty days from the date such resolution is adopted.</w:t>
      </w:r>
    </w:p>
    <w:p w14:paraId="5132C3DA" w14:textId="6854D6BD" w:rsidR="006B2F05" w:rsidRPr="00CD223E"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0452">
        <w:rPr>
          <w:rFonts w:eastAsia="Times New Roman"/>
          <w:snapToGrid w:val="0"/>
          <w:szCs w:val="20"/>
        </w:rPr>
        <w:tab/>
        <w:t>(F)</w:t>
      </w:r>
      <w:r w:rsidRPr="00360452">
        <w:rPr>
          <w:rFonts w:eastAsia="Times New Roman"/>
          <w:snapToGrid w:val="0"/>
          <w:szCs w:val="20"/>
        </w:rPr>
        <w:tab/>
        <w:t xml:space="preserve">The provisions of this </w:t>
      </w:r>
      <w:r w:rsidR="00E51827">
        <w:rPr>
          <w:rFonts w:eastAsia="Times New Roman"/>
          <w:snapToGrid w:val="0"/>
          <w:szCs w:val="20"/>
        </w:rPr>
        <w:t>s</w:t>
      </w:r>
      <w:r w:rsidRPr="00360452">
        <w:rPr>
          <w:rFonts w:eastAsia="Times New Roman"/>
          <w:snapToGrid w:val="0"/>
          <w:szCs w:val="20"/>
        </w:rPr>
        <w:t>ection are not available to a county with more than two existing sales and use taxes current</w:t>
      </w:r>
      <w:r w:rsidR="00E51827">
        <w:rPr>
          <w:rFonts w:eastAsia="Times New Roman"/>
          <w:snapToGrid w:val="0"/>
          <w:szCs w:val="20"/>
        </w:rPr>
        <w:t>ly</w:t>
      </w:r>
      <w:r w:rsidRPr="00360452">
        <w:rPr>
          <w:rFonts w:eastAsia="Times New Roman"/>
          <w:snapToGrid w:val="0"/>
          <w:szCs w:val="20"/>
        </w:rPr>
        <w:t xml:space="preserve"> in effect.</w:t>
      </w:r>
      <w:r>
        <w:rPr>
          <w:rFonts w:eastAsia="Times New Roman"/>
          <w:snapToGrid w:val="0"/>
          <w:szCs w:val="20"/>
        </w:rPr>
        <w:t xml:space="preserve"> </w:t>
      </w:r>
      <w:r>
        <w:rPr>
          <w:color w:val="000000" w:themeColor="text1"/>
          <w:u w:color="000000" w:themeColor="text1"/>
        </w:rPr>
        <w:tab/>
      </w:r>
      <w:r>
        <w:rPr>
          <w:color w:val="000000" w:themeColor="text1"/>
          <w:u w:color="000000" w:themeColor="text1"/>
        </w:rPr>
        <w:tab/>
      </w:r>
    </w:p>
    <w:p w14:paraId="76093FB6" w14:textId="7F4D4BE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4-10-1030.</w:t>
      </w:r>
      <w:r w:rsidRPr="00CD223E">
        <w:rPr>
          <w:color w:val="000000" w:themeColor="text1"/>
          <w:u w:color="000000" w:themeColor="text1"/>
        </w:rPr>
        <w:tab/>
        <w:t>(A)</w:t>
      </w:r>
      <w:r w:rsidRPr="00CD223E">
        <w:rPr>
          <w:color w:val="000000" w:themeColor="text1"/>
          <w:u w:color="000000" w:themeColor="text1"/>
        </w:rPr>
        <w:tab/>
        <w:t>If the sales and use tax is approved in a referendum, then the tax shall be imposed on the first of May following the date of the referendum. If the reimposition of an existing sales and use tax imposed pursuant to this article is approved in a referendum, then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then the imposition is postponed for twelve months.</w:t>
      </w:r>
    </w:p>
    <w:p w14:paraId="5BDE1C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terminates the final day of the maximum time period specified for the imposition.</w:t>
      </w:r>
    </w:p>
    <w:p w14:paraId="632C826E" w14:textId="40B109FD"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Amounts collected in excess of the required net proceeds must first be applied, if applicable, to complete the preservation procurements for which the tax was imposed.</w:t>
      </w:r>
    </w:p>
    <w:p w14:paraId="62D91749" w14:textId="73DA3FBF" w:rsidR="003A7958"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B2F05">
        <w:rPr>
          <w:rFonts w:eastAsia="Times New Roman"/>
          <w:snapToGrid w:val="0"/>
          <w:szCs w:val="20"/>
        </w:rPr>
        <w:tab/>
      </w:r>
      <w:r w:rsidRPr="00360452">
        <w:rPr>
          <w:rFonts w:eastAsia="Times New Roman"/>
          <w:snapToGrid w:val="0"/>
          <w:szCs w:val="20"/>
        </w:rPr>
        <w:t>(D)</w:t>
      </w:r>
      <w:r w:rsidRPr="00360452">
        <w:rPr>
          <w:rFonts w:eastAsia="Times New Roman"/>
          <w:snapToGrid w:val="0"/>
          <w:szCs w:val="20"/>
        </w:rPr>
        <w:tab/>
      </w:r>
      <w:r w:rsidRPr="00360452">
        <w:rPr>
          <w:color w:val="000000" w:themeColor="text1"/>
          <w:u w:color="000000" w:themeColor="text1"/>
        </w:rPr>
        <w:t>If the sales and use tax is approved in a referendum, then the Department of Revenue must make available to the public, upon request, all information regarding the amount of the tax that is collected, expenditures, and any remaining funds at the time of the information request to ensure transparency and accountability.</w:t>
      </w:r>
    </w:p>
    <w:p w14:paraId="6EEA80DC" w14:textId="77777777" w:rsidR="006B2F05" w:rsidRPr="00CD223E" w:rsidRDefault="006B2F05"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71814C0"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D223E">
        <w:rPr>
          <w:rFonts w:eastAsia="Times New Roman"/>
        </w:rPr>
        <w:tab/>
      </w:r>
      <w:r w:rsidRPr="00360452">
        <w:rPr>
          <w:rFonts w:eastAsia="Times New Roman"/>
        </w:rPr>
        <w:t>Section 4-10-1040.</w:t>
      </w:r>
      <w:r w:rsidRPr="00360452">
        <w:rPr>
          <w:color w:val="000000" w:themeColor="text1"/>
          <w:u w:color="000000" w:themeColor="text1"/>
        </w:rPr>
        <w:tab/>
        <w:t>(A)(1)</w:t>
      </w:r>
      <w:r w:rsidRPr="00360452">
        <w:rPr>
          <w:color w:val="000000" w:themeColor="text1"/>
          <w:u w:color="000000" w:themeColor="text1"/>
        </w:rPr>
        <w:tab/>
        <w:t>The tax levied pursuant to this article must be administered and collected by the Department of Revenue in the same manner that other sales and use taxes are collected. The Department of Revenue may prescribe amounts that may be added to sales prices because of the tax.</w:t>
      </w:r>
    </w:p>
    <w:p w14:paraId="51E0DFC4"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t>(2)</w:t>
      </w:r>
      <w:r w:rsidRPr="00360452">
        <w:rPr>
          <w:color w:val="000000" w:themeColor="text1"/>
          <w:u w:color="000000" w:themeColor="text1"/>
        </w:rPr>
        <w:tab/>
        <w:t>The county in which a referendum is passed shall assemble an advisory committee to assist the Department of Revenue with directing the distribution of the taxes collected to ensure a transparent and equal distribution within the county. The advisory committee shall include seven members:</w:t>
      </w:r>
    </w:p>
    <w:p w14:paraId="3AF55020"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lastRenderedPageBreak/>
        <w:tab/>
      </w:r>
      <w:r w:rsidRPr="00360452">
        <w:rPr>
          <w:color w:val="000000" w:themeColor="text1"/>
          <w:u w:color="000000" w:themeColor="text1"/>
        </w:rPr>
        <w:tab/>
      </w:r>
      <w:r w:rsidRPr="00360452">
        <w:rPr>
          <w:color w:val="000000" w:themeColor="text1"/>
          <w:u w:color="000000" w:themeColor="text1"/>
        </w:rPr>
        <w:tab/>
        <w:t>(a)</w:t>
      </w:r>
      <w:r w:rsidRPr="00360452">
        <w:rPr>
          <w:color w:val="000000" w:themeColor="text1"/>
          <w:u w:color="000000" w:themeColor="text1"/>
        </w:rPr>
        <w:tab/>
        <w:t>one member who is a member of the county council;</w:t>
      </w:r>
    </w:p>
    <w:p w14:paraId="700FA102"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(b)</w:t>
      </w:r>
      <w:r w:rsidRPr="00360452">
        <w:rPr>
          <w:color w:val="000000" w:themeColor="text1"/>
          <w:u w:color="000000" w:themeColor="text1"/>
        </w:rPr>
        <w:tab/>
        <w:t>one member who is a member of the legislative delegation;</w:t>
      </w:r>
    </w:p>
    <w:p w14:paraId="22A0AB36" w14:textId="77777777" w:rsidR="000E2AAF" w:rsidRPr="00360452"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(c)</w:t>
      </w:r>
      <w:r w:rsidRPr="00360452">
        <w:rPr>
          <w:color w:val="000000" w:themeColor="text1"/>
          <w:u w:color="000000" w:themeColor="text1"/>
        </w:rPr>
        <w:tab/>
        <w:t xml:space="preserve">one member who is knowledgeable about the geography and condition of the county’s land; and </w:t>
      </w:r>
    </w:p>
    <w:p w14:paraId="3D94B198" w14:textId="08D4F63C" w:rsidR="003A7958" w:rsidRPr="00CD223E" w:rsidRDefault="000E2AAF" w:rsidP="000E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0452">
        <w:rPr>
          <w:color w:val="000000" w:themeColor="text1"/>
          <w:u w:color="000000" w:themeColor="text1"/>
        </w:rPr>
        <w:tab/>
      </w:r>
      <w:r w:rsidRPr="00360452">
        <w:rPr>
          <w:color w:val="000000" w:themeColor="text1"/>
          <w:u w:color="000000" w:themeColor="text1"/>
        </w:rPr>
        <w:tab/>
      </w:r>
      <w:r w:rsidRPr="00360452">
        <w:rPr>
          <w:color w:val="000000" w:themeColor="text1"/>
          <w:u w:color="000000" w:themeColor="text1"/>
        </w:rPr>
        <w:tab/>
        <w:t>(d)</w:t>
      </w:r>
      <w:r w:rsidRPr="00360452">
        <w:rPr>
          <w:color w:val="000000" w:themeColor="text1"/>
          <w:u w:color="000000" w:themeColor="text1"/>
        </w:rPr>
        <w:tab/>
        <w:t>four citizen members, each representing the northern, southern, eastern, and western portions of the county.</w:t>
      </w:r>
    </w:p>
    <w:p w14:paraId="0C6DE2D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6EA35A8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 taxpayer required to remit taxes under Article 13, Chapter 36 of Title 12 must identify the county in which the personal property purchased at retail is stored, used, or consumed in this State.</w:t>
      </w:r>
    </w:p>
    <w:p w14:paraId="0BD47E0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A utility is required to report sales in the county in which the consumption of the tangible personal property occurs.</w:t>
      </w:r>
    </w:p>
    <w:p w14:paraId="71F49B8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A taxpayer subject to the tax imposed by Section 12</w:t>
      </w:r>
      <w:r w:rsidRPr="00CD223E">
        <w:rPr>
          <w:color w:val="000000" w:themeColor="text1"/>
          <w:u w:color="000000" w:themeColor="text1"/>
        </w:rPr>
        <w:noBreakHyphen/>
        <w:t>36</w:t>
      </w:r>
      <w:r w:rsidRPr="00CD223E">
        <w:rPr>
          <w:color w:val="000000" w:themeColor="text1"/>
          <w:u w:color="000000" w:themeColor="text1"/>
        </w:rPr>
        <w:noBreakHyphen/>
        <w:t>920, who owns or manages rental units in more than one county, must separately report in his sales tax return the total gross proceeds from business done in each county.</w:t>
      </w:r>
    </w:p>
    <w:p w14:paraId="5000607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(F)</w:t>
      </w:r>
      <w:r w:rsidRPr="00CD223E">
        <w:rPr>
          <w:color w:val="000000" w:themeColor="text1"/>
          <w:u w:color="000000" w:themeColor="text1"/>
        </w:rPr>
        <w:tab/>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3AEFF07D" w14:textId="2DC0B7CC" w:rsidR="003A7958" w:rsidRPr="006B2F05" w:rsidRDefault="003A7958" w:rsidP="006B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(G)</w:t>
      </w:r>
      <w:r w:rsidRPr="00CD223E">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1CD1617F" w14:textId="41AFB28B" w:rsidR="003A7958" w:rsidRPr="00CD223E" w:rsidRDefault="003A7958" w:rsidP="008C425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lastRenderedPageBreak/>
        <w:tab/>
        <w:t>Section 4-10-1050.</w:t>
      </w:r>
      <w:r w:rsidRPr="00CD223E">
        <w:rPr>
          <w:rFonts w:eastAsia="Times New Roman"/>
        </w:rPr>
        <w:tab/>
      </w:r>
      <w:r w:rsidRPr="00CD223E">
        <w:rPr>
          <w:color w:val="000000" w:themeColor="text1"/>
          <w:u w:color="000000" w:themeColor="text1"/>
        </w:rPr>
        <w:t>The Department of Revenue shall furnish data to the State Treasurer and to the 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CD223E">
        <w:rPr>
          <w:color w:val="000000" w:themeColor="text1"/>
          <w:u w:color="000000" w:themeColor="text1"/>
        </w:rPr>
        <w:noBreakHyphen/>
        <w:t>54</w:t>
      </w:r>
      <w:r w:rsidRPr="00CD223E">
        <w:rPr>
          <w:color w:val="000000" w:themeColor="text1"/>
          <w:u w:color="000000" w:themeColor="text1"/>
        </w:rPr>
        <w:noBreakHyphen/>
        <w:t>240. A person violating this section is subject to the penalties provided in Section 12</w:t>
      </w:r>
      <w:r w:rsidRPr="00CD223E">
        <w:rPr>
          <w:color w:val="000000" w:themeColor="text1"/>
          <w:u w:color="000000" w:themeColor="text1"/>
        </w:rPr>
        <w:noBreakHyphen/>
        <w:t>54</w:t>
      </w:r>
      <w:r w:rsidRPr="00CD223E">
        <w:rPr>
          <w:color w:val="000000" w:themeColor="text1"/>
          <w:u w:color="000000" w:themeColor="text1"/>
        </w:rPr>
        <w:noBreakHyphen/>
        <w:t>240.</w:t>
      </w:r>
    </w:p>
    <w:p w14:paraId="78C0483F" w14:textId="77777777" w:rsidR="004643EA" w:rsidRDefault="004643EA"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61995" w14:textId="1D058B5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ab/>
        <w:t>Section 4-10-1060.</w:t>
      </w:r>
      <w:r w:rsidRPr="00CD223E">
        <w:rPr>
          <w:rFonts w:eastAsia="Times New Roman"/>
        </w:rPr>
        <w:tab/>
      </w:r>
      <w:r w:rsidRPr="00CD223E">
        <w:rPr>
          <w:color w:val="000000" w:themeColor="text1"/>
          <w:u w:color="000000" w:themeColor="text1"/>
        </w:rPr>
        <w:t>Annually, and only in the month of June, funds collected by the Department of Revenue from the county green space sales tax, which are not identified as to the governmental unit due the tax, must be transferred, after reasonable effort by the Department of Revenue to determine the appropriate governmental unit, to the State Treasurer’s Office. The State Treasurer shall distribute these funds to the county treasurer in the county area in which the tax is imposed, and the revenues must be only used for the purposes stated in the enacting ordinance. The State Treasurer shall calculate this supplemental distribution on a proportional basis, based on the current fiscal year’s county area revenue collections.”</w:t>
      </w:r>
    </w:p>
    <w:p w14:paraId="446037C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3A49A909" w:rsidR="007F205D" w:rsidRPr="00522CE0"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3.</w:t>
      </w:r>
      <w:r w:rsidRPr="00CD223E">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077165E" w14:textId="77777777" w:rsidR="00AF1434" w:rsidRDefault="00AF1434" w:rsidP="00AF1434">
      <w:pPr>
        <w:suppressAutoHyphens/>
        <w:jc w:val="both"/>
        <w:rPr>
          <w:rFonts w:eastAsia="Times New Roman"/>
        </w:rPr>
      </w:pPr>
    </w:p>
    <w:sectPr w:rsidR="00AF1434" w:rsidSect="00976E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A8344" w14:textId="77777777" w:rsidR="000E2AAF" w:rsidRDefault="000E2AAF" w:rsidP="00522CE0">
      <w:r>
        <w:separator/>
      </w:r>
    </w:p>
  </w:endnote>
  <w:endnote w:type="continuationSeparator" w:id="0">
    <w:p w14:paraId="5056A19E" w14:textId="77777777" w:rsidR="000E2AAF" w:rsidRDefault="000E2A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7374E83-D39D-4B7D-A131-AB7A792793F2}"/>
    <w:embedBold r:id="rId2" w:fontKey="{8858BB84-5E71-4C4A-BA59-F5E6955A5C01}"/>
  </w:font>
  <w:font w:name="Calibri">
    <w:panose1 w:val="020F0502020204030204"/>
    <w:charset w:val="00"/>
    <w:family w:val="swiss"/>
    <w:pitch w:val="variable"/>
    <w:sig w:usb0="E4002EFF" w:usb1="C000247B" w:usb2="00000009" w:usb3="00000000" w:csb0="000001FF" w:csb1="00000000"/>
    <w:embedRegular r:id="rId3" w:fontKey="{6B4C9564-2C7E-46AF-B88E-CAC28D9F350B}"/>
    <w:embedBold r:id="rId4" w:fontKey="{4282092A-C8BD-4B65-93D5-8F13904C3DDC}"/>
  </w:font>
  <w:font w:name="Segoe UI">
    <w:panose1 w:val="020B0502040204020203"/>
    <w:charset w:val="00"/>
    <w:family w:val="swiss"/>
    <w:pitch w:val="variable"/>
    <w:sig w:usb0="E4002EFF" w:usb1="C000E47F" w:usb2="00000009" w:usb3="00000000" w:csb0="000001FF" w:csb1="00000000"/>
    <w:embedRegular r:id="rId5" w:fontKey="{616924F2-B6D2-46F0-8CDE-A4B52CE787A2}"/>
  </w:font>
  <w:font w:name="Cambria">
    <w:panose1 w:val="02040503050406030204"/>
    <w:charset w:val="00"/>
    <w:family w:val="roman"/>
    <w:pitch w:val="variable"/>
    <w:sig w:usb0="E00006FF" w:usb1="420024FF" w:usb2="02000000" w:usb3="00000000" w:csb0="0000019F" w:csb1="00000000"/>
    <w:embedRegular r:id="rId6" w:fontKey="{F2CF46F2-D4E2-4F60-9106-059F1D958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5FAE" w14:textId="535884D7" w:rsidR="000E2AAF" w:rsidRPr="00D47FAC" w:rsidRDefault="000E2AAF" w:rsidP="00D47FAC">
    <w:pPr>
      <w:pStyle w:val="Footer"/>
      <w:tabs>
        <w:tab w:val="clear" w:pos="4680"/>
        <w:tab w:val="clear" w:pos="9360"/>
        <w:tab w:val="center" w:pos="2995"/>
      </w:tabs>
      <w:spacing w:before="120"/>
    </w:pPr>
    <w:r>
      <w:t>[152-</w:t>
    </w:r>
    <w:r>
      <w:fldChar w:fldCharType="begin"/>
    </w:r>
    <w:r>
      <w:instrText xml:space="preserve"> PAGE  \* MERGEFORMAT </w:instrText>
    </w:r>
    <w:r>
      <w:fldChar w:fldCharType="separate"/>
    </w:r>
    <w:r w:rsidR="00195EF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7E6A" w14:textId="6ED23DE3" w:rsidR="000E2AAF" w:rsidRPr="00D47FAC" w:rsidRDefault="000E2AAF"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195EFF">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835D6" w14:textId="77777777" w:rsidR="000E2AAF" w:rsidRDefault="000E2AAF" w:rsidP="00522CE0">
      <w:r>
        <w:separator/>
      </w:r>
    </w:p>
  </w:footnote>
  <w:footnote w:type="continuationSeparator" w:id="0">
    <w:p w14:paraId="5B9B5FEF" w14:textId="77777777" w:rsidR="000E2AAF" w:rsidRDefault="000E2A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55304"/>
    <w:rsid w:val="00072458"/>
    <w:rsid w:val="0007601D"/>
    <w:rsid w:val="000B0720"/>
    <w:rsid w:val="000B5EAF"/>
    <w:rsid w:val="000D049F"/>
    <w:rsid w:val="000E2AAF"/>
    <w:rsid w:val="001315B2"/>
    <w:rsid w:val="00170561"/>
    <w:rsid w:val="00174988"/>
    <w:rsid w:val="00186AC9"/>
    <w:rsid w:val="00194BDB"/>
    <w:rsid w:val="00195EFF"/>
    <w:rsid w:val="00197DF1"/>
    <w:rsid w:val="001B3DD9"/>
    <w:rsid w:val="001B7E5D"/>
    <w:rsid w:val="001D3BAC"/>
    <w:rsid w:val="00210081"/>
    <w:rsid w:val="00216025"/>
    <w:rsid w:val="00245C4E"/>
    <w:rsid w:val="002969B8"/>
    <w:rsid w:val="002C1321"/>
    <w:rsid w:val="002C2031"/>
    <w:rsid w:val="002C5896"/>
    <w:rsid w:val="002D3BED"/>
    <w:rsid w:val="002D4BCD"/>
    <w:rsid w:val="00307C2B"/>
    <w:rsid w:val="00315D04"/>
    <w:rsid w:val="003322FB"/>
    <w:rsid w:val="00334EF4"/>
    <w:rsid w:val="00360452"/>
    <w:rsid w:val="00383247"/>
    <w:rsid w:val="003A5E89"/>
    <w:rsid w:val="003A7958"/>
    <w:rsid w:val="003D6E2B"/>
    <w:rsid w:val="003E1252"/>
    <w:rsid w:val="003E7597"/>
    <w:rsid w:val="00413EBF"/>
    <w:rsid w:val="0044020F"/>
    <w:rsid w:val="00450668"/>
    <w:rsid w:val="00454138"/>
    <w:rsid w:val="004643EA"/>
    <w:rsid w:val="00464642"/>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C3457"/>
    <w:rsid w:val="005F07AC"/>
    <w:rsid w:val="005F1745"/>
    <w:rsid w:val="00606D63"/>
    <w:rsid w:val="00614B5C"/>
    <w:rsid w:val="0064420C"/>
    <w:rsid w:val="006A1802"/>
    <w:rsid w:val="006B2F05"/>
    <w:rsid w:val="006C0CBB"/>
    <w:rsid w:val="006C21E2"/>
    <w:rsid w:val="006C74EA"/>
    <w:rsid w:val="006E29DF"/>
    <w:rsid w:val="006F1DF7"/>
    <w:rsid w:val="006F56CF"/>
    <w:rsid w:val="00720D40"/>
    <w:rsid w:val="007318D4"/>
    <w:rsid w:val="007447B4"/>
    <w:rsid w:val="0075244B"/>
    <w:rsid w:val="00765784"/>
    <w:rsid w:val="0078434F"/>
    <w:rsid w:val="007A4390"/>
    <w:rsid w:val="007C7561"/>
    <w:rsid w:val="007D5B2C"/>
    <w:rsid w:val="007E5CB7"/>
    <w:rsid w:val="007E5EDA"/>
    <w:rsid w:val="007F205D"/>
    <w:rsid w:val="008314D2"/>
    <w:rsid w:val="0083299D"/>
    <w:rsid w:val="00870F6F"/>
    <w:rsid w:val="00875CD4"/>
    <w:rsid w:val="008B2F42"/>
    <w:rsid w:val="008C3697"/>
    <w:rsid w:val="008C425A"/>
    <w:rsid w:val="008E185F"/>
    <w:rsid w:val="008F023B"/>
    <w:rsid w:val="00904E16"/>
    <w:rsid w:val="009162B3"/>
    <w:rsid w:val="00922534"/>
    <w:rsid w:val="00927C62"/>
    <w:rsid w:val="0094665C"/>
    <w:rsid w:val="00976EA5"/>
    <w:rsid w:val="009829DD"/>
    <w:rsid w:val="00983951"/>
    <w:rsid w:val="00984124"/>
    <w:rsid w:val="00984640"/>
    <w:rsid w:val="00990549"/>
    <w:rsid w:val="00995C37"/>
    <w:rsid w:val="009C118A"/>
    <w:rsid w:val="009E62BF"/>
    <w:rsid w:val="00A02011"/>
    <w:rsid w:val="00A17F37"/>
    <w:rsid w:val="00A4011E"/>
    <w:rsid w:val="00A812F4"/>
    <w:rsid w:val="00A815C0"/>
    <w:rsid w:val="00A832F2"/>
    <w:rsid w:val="00A86015"/>
    <w:rsid w:val="00A9594E"/>
    <w:rsid w:val="00AE59C8"/>
    <w:rsid w:val="00AF1434"/>
    <w:rsid w:val="00B10098"/>
    <w:rsid w:val="00B27DEE"/>
    <w:rsid w:val="00B40D6A"/>
    <w:rsid w:val="00B5790D"/>
    <w:rsid w:val="00B67E56"/>
    <w:rsid w:val="00B945C5"/>
    <w:rsid w:val="00BA20EA"/>
    <w:rsid w:val="00BB5AFC"/>
    <w:rsid w:val="00BC026E"/>
    <w:rsid w:val="00BC0A56"/>
    <w:rsid w:val="00BF199B"/>
    <w:rsid w:val="00C45366"/>
    <w:rsid w:val="00C51404"/>
    <w:rsid w:val="00C57023"/>
    <w:rsid w:val="00C64CE7"/>
    <w:rsid w:val="00C74052"/>
    <w:rsid w:val="00C87404"/>
    <w:rsid w:val="00C97D73"/>
    <w:rsid w:val="00CA2ECD"/>
    <w:rsid w:val="00CB187A"/>
    <w:rsid w:val="00CB3998"/>
    <w:rsid w:val="00CB7177"/>
    <w:rsid w:val="00CC0EC7"/>
    <w:rsid w:val="00CC251A"/>
    <w:rsid w:val="00CC5119"/>
    <w:rsid w:val="00CD223E"/>
    <w:rsid w:val="00CE0654"/>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2431"/>
    <w:rsid w:val="00E03729"/>
    <w:rsid w:val="00E058D3"/>
    <w:rsid w:val="00E12CA0"/>
    <w:rsid w:val="00E20583"/>
    <w:rsid w:val="00E2236D"/>
    <w:rsid w:val="00E51827"/>
    <w:rsid w:val="00E76AD9"/>
    <w:rsid w:val="00E86EE2"/>
    <w:rsid w:val="00E91E2F"/>
    <w:rsid w:val="00EA3546"/>
    <w:rsid w:val="00EB47AE"/>
    <w:rsid w:val="00EC34E1"/>
    <w:rsid w:val="00F0234A"/>
    <w:rsid w:val="00F05CF2"/>
    <w:rsid w:val="00F21D72"/>
    <w:rsid w:val="00F51241"/>
    <w:rsid w:val="00F52959"/>
    <w:rsid w:val="00F55884"/>
    <w:rsid w:val="00F63B02"/>
    <w:rsid w:val="00FB1866"/>
    <w:rsid w:val="00FB3D17"/>
    <w:rsid w:val="00FB7F01"/>
    <w:rsid w:val="00FC0D36"/>
    <w:rsid w:val="00FC3A2B"/>
    <w:rsid w:val="00FE6467"/>
    <w:rsid w:val="00FF7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57B22-2C4C-4D05-8BC4-B3A36F441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3075</Words>
  <Characters>15880</Characters>
  <Application>Microsoft Office Word</Application>
  <DocSecurity>0</DocSecurity>
  <Lines>381</Lines>
  <Paragraphs>82</Paragraphs>
  <ScaleCrop>false</ScaleCrop>
  <HeadingPairs>
    <vt:vector size="2" baseType="variant">
      <vt:variant>
        <vt:lpstr>Title</vt:lpstr>
      </vt:variant>
      <vt:variant>
        <vt:i4>1</vt:i4>
      </vt:variant>
    </vt:vector>
  </HeadingPairs>
  <TitlesOfParts>
    <vt:vector size="1" baseType="lpstr">
      <vt:lpstr>2021-2022 Bill 152 Text of Previous Version (Dec. 9, 2020) - South Carolina Legislature Online</vt:lpstr>
    </vt:vector>
  </TitlesOfParts>
  <Company> </Company>
  <LinksUpToDate>false</LinksUpToDate>
  <CharactersWithSpaces>18991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(May 11, 2022) - South Carolina Legislature Online</dc:title>
  <dc:subject/>
  <dc:creator>Sara Parrish</dc:creator>
  <cp:keywords/>
  <dc:description/>
  <cp:lastModifiedBy>Miriam Cook</cp:lastModifiedBy>
  <cp:revision>2</cp:revision>
  <cp:lastPrinted>2022-04-28T23:29:00Z</cp:lastPrinted>
  <dcterms:created xsi:type="dcterms:W3CDTF">2022-05-11T23:36:00Z</dcterms:created>
  <dcterms:modified xsi:type="dcterms:W3CDTF">2022-05-11T23:36:00Z</dcterms:modified>
</cp:coreProperties>
</file>