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172"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A40D1" w:rsidRP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23, 2021</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D1" w:rsidRPr="00FA40D1" w:rsidRDefault="00FA40D1" w:rsidP="00FA40D1">
      <w:pPr>
        <w:tabs>
          <w:tab w:val="right" w:pos="5933"/>
        </w:tabs>
      </w:pPr>
      <w:r>
        <w:tab/>
      </w:r>
      <w:r>
        <w:rPr>
          <w:b/>
          <w:sz w:val="36"/>
        </w:rPr>
        <w:t>S. 160</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D1" w:rsidRDefault="00FA40D1" w:rsidP="00FA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Scott and Setzler</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2/23/21--H.</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23, 2021.</w:t>
      </w:r>
    </w:p>
    <w:p w:rsidR="00FA40D1" w:rsidRPr="00FA40D1" w:rsidRDefault="00FA40D1" w:rsidP="00FA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D1" w:rsidRDefault="00FA40D1"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A40D1" w:rsidSect="00DC1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70A" w:rsidRDefault="0052570A"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3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A40D1" w:rsidRDefault="00C247A7" w:rsidP="00FA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bookmarkStart w:id="4" w:name="titleend"/>
      <w:bookmarkEnd w:id="4"/>
      <w:bookmarkEnd w:id="1"/>
    </w:p>
    <w:p w:rsidR="00673D56" w:rsidRDefault="0067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SECTION</w:t>
      </w:r>
      <w:r w:rsidRPr="002A223D">
        <w:rPr>
          <w:color w:val="000000" w:themeColor="text1"/>
          <w:u w:color="000000" w:themeColor="text1"/>
        </w:rPr>
        <w:tab/>
        <w:t>1.</w:t>
      </w:r>
      <w:r w:rsidRPr="002A223D">
        <w:rPr>
          <w:color w:val="000000" w:themeColor="text1"/>
          <w:u w:color="000000" w:themeColor="text1"/>
        </w:rPr>
        <w:tab/>
        <w:t>Section 59</w:t>
      </w:r>
      <w:r>
        <w:rPr>
          <w:color w:val="000000" w:themeColor="text1"/>
          <w:u w:color="000000" w:themeColor="text1"/>
        </w:rPr>
        <w:noBreakHyphen/>
      </w:r>
      <w:r w:rsidRPr="002A223D">
        <w:rPr>
          <w:color w:val="000000" w:themeColor="text1"/>
          <w:u w:color="000000" w:themeColor="text1"/>
        </w:rPr>
        <w:t>53</w:t>
      </w:r>
      <w:r>
        <w:rPr>
          <w:color w:val="000000" w:themeColor="text1"/>
          <w:u w:color="000000" w:themeColor="text1"/>
        </w:rPr>
        <w:noBreakHyphen/>
      </w:r>
      <w:r w:rsidRPr="002A223D">
        <w:rPr>
          <w:color w:val="000000" w:themeColor="text1"/>
          <w:u w:color="000000" w:themeColor="text1"/>
        </w:rPr>
        <w:t>1784(C) of the 1976 Code is amended to read:</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ab/>
        <w:t>“(C)</w:t>
      </w:r>
      <w:r w:rsidRPr="002A223D">
        <w:rPr>
          <w:color w:val="000000" w:themeColor="text1"/>
          <w:u w:val="single" w:color="000000" w:themeColor="text1"/>
        </w:rPr>
        <w:t>(1)</w:t>
      </w:r>
      <w:r w:rsidRPr="002A223D">
        <w:rPr>
          <w:color w:val="000000" w:themeColor="text1"/>
          <w:u w:color="000000" w:themeColor="text1"/>
        </w:rPr>
        <w:tab/>
      </w:r>
      <w:r w:rsidRPr="002A223D">
        <w:rPr>
          <w:color w:val="000000" w:themeColor="text1"/>
          <w:u w:color="000000" w:themeColor="text1"/>
        </w:rPr>
        <w:tab/>
        <w:t xml:space="preserve">The authority is exempt from all regulations and general laws </w:t>
      </w:r>
      <w:r w:rsidRPr="002A223D">
        <w:rPr>
          <w:color w:val="000000" w:themeColor="text1"/>
          <w:u w:val="single" w:color="000000" w:themeColor="text1"/>
        </w:rPr>
        <w:t>including, but not limited to, Sections 1</w:t>
      </w:r>
      <w:r>
        <w:rPr>
          <w:color w:val="000000" w:themeColor="text1"/>
          <w:u w:val="single" w:color="000000" w:themeColor="text1"/>
        </w:rPr>
        <w:noBreakHyphen/>
      </w:r>
      <w:r w:rsidRPr="002A223D">
        <w:rPr>
          <w:color w:val="000000" w:themeColor="text1"/>
          <w:u w:val="single" w:color="000000" w:themeColor="text1"/>
        </w:rPr>
        <w:t>11</w:t>
      </w:r>
      <w:r>
        <w:rPr>
          <w:color w:val="000000" w:themeColor="text1"/>
          <w:u w:val="single" w:color="000000" w:themeColor="text1"/>
        </w:rPr>
        <w:noBreakHyphen/>
      </w:r>
      <w:r w:rsidRPr="002A223D">
        <w:rPr>
          <w:color w:val="000000" w:themeColor="text1"/>
          <w:u w:val="single" w:color="000000" w:themeColor="text1"/>
        </w:rPr>
        <w:t>58 and 1</w:t>
      </w:r>
      <w:r>
        <w:rPr>
          <w:color w:val="000000" w:themeColor="text1"/>
          <w:u w:val="single" w:color="000000" w:themeColor="text1"/>
        </w:rPr>
        <w:noBreakHyphen/>
      </w:r>
      <w:r w:rsidRPr="002A223D">
        <w:rPr>
          <w:color w:val="000000" w:themeColor="text1"/>
          <w:u w:val="single" w:color="000000" w:themeColor="text1"/>
        </w:rPr>
        <w:t>11</w:t>
      </w:r>
      <w:r>
        <w:rPr>
          <w:color w:val="000000" w:themeColor="text1"/>
          <w:u w:val="single" w:color="000000" w:themeColor="text1"/>
        </w:rPr>
        <w:noBreakHyphen/>
      </w:r>
      <w:r w:rsidRPr="002A223D">
        <w:rPr>
          <w:color w:val="000000" w:themeColor="text1"/>
          <w:u w:val="single" w:color="000000" w:themeColor="text1"/>
        </w:rPr>
        <w:t>65,</w:t>
      </w:r>
      <w:r w:rsidRPr="002A223D">
        <w:rPr>
          <w:color w:val="000000" w:themeColor="text1"/>
          <w:u w:color="000000" w:themeColor="text1"/>
        </w:rPr>
        <w:t xml:space="preserve"> governing disposal of surplus government property</w:t>
      </w:r>
      <w:r w:rsidRPr="002A223D">
        <w:rPr>
          <w:color w:val="000000" w:themeColor="text1"/>
          <w:u w:val="single" w:color="000000" w:themeColor="text1"/>
        </w:rPr>
        <w:t>, whether real, personal, or mixed</w:t>
      </w:r>
      <w:r w:rsidRPr="002A223D">
        <w:rPr>
          <w:color w:val="000000" w:themeColor="text1"/>
          <w:u w:color="000000" w:themeColor="text1"/>
        </w:rPr>
        <w:t>.</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ab/>
      </w:r>
      <w:r w:rsidRPr="002A223D">
        <w:rPr>
          <w:color w:val="000000" w:themeColor="text1"/>
          <w:u w:color="000000" w:themeColor="text1"/>
        </w:rPr>
        <w:tab/>
      </w:r>
      <w:r w:rsidRPr="002A223D">
        <w:rPr>
          <w:color w:val="000000" w:themeColor="text1"/>
          <w:u w:val="single" w:color="000000" w:themeColor="text1"/>
        </w:rPr>
        <w:t>(2)</w:t>
      </w:r>
      <w:r w:rsidRPr="002A223D">
        <w:rPr>
          <w:color w:val="000000" w:themeColor="text1"/>
          <w:u w:color="000000" w:themeColor="text1"/>
        </w:rPr>
        <w:tab/>
      </w:r>
      <w:r w:rsidRPr="002A223D">
        <w:rPr>
          <w:color w:val="000000" w:themeColor="text1"/>
          <w:u w:val="single" w:color="000000" w:themeColor="text1"/>
        </w:rPr>
        <w:t>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Accountability Authority a copy of the recorded deed and a copy of the appraisal.</w:t>
      </w:r>
      <w:r w:rsidRPr="002A223D">
        <w:rPr>
          <w:color w:val="000000" w:themeColor="text1"/>
          <w:u w:color="000000" w:themeColor="text1"/>
        </w:rPr>
        <w:t>”</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SECTION</w:t>
      </w:r>
      <w:r w:rsidRPr="002A223D">
        <w:rPr>
          <w:color w:val="000000" w:themeColor="text1"/>
          <w:u w:color="000000" w:themeColor="text1"/>
        </w:rPr>
        <w:tab/>
        <w:t>2.</w:t>
      </w:r>
      <w:r w:rsidRPr="002A223D">
        <w:rPr>
          <w:color w:val="000000" w:themeColor="text1"/>
          <w:u w:color="000000" w:themeColor="text1"/>
        </w:rPr>
        <w:tab/>
        <w:t>This act takes effec</w:t>
      </w:r>
      <w:r>
        <w:rPr>
          <w:color w:val="000000" w:themeColor="text1"/>
          <w:u w:color="000000" w:themeColor="text1"/>
        </w:rPr>
        <w:t>t upon approval by the Governor</w:t>
      </w:r>
      <w:r w:rsidR="00C247A7" w:rsidRPr="00C65FB0">
        <w:rPr>
          <w:color w:val="000000" w:themeColor="text1"/>
          <w:u w:color="000000" w:themeColor="text1"/>
        </w:rPr>
        <w:t>.</w:t>
      </w:r>
    </w:p>
    <w:p w:rsidR="00190395" w:rsidRDefault="00C247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FA9" w:rsidRDefault="00A21FA9" w:rsidP="00A21FA9">
      <w:pPr>
        <w:suppressAutoHyphens/>
      </w:pPr>
    </w:p>
    <w:sectPr w:rsidR="00A21FA9" w:rsidSect="00DC1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0F" w:rsidRDefault="00B8320F" w:rsidP="009F0C77">
      <w:r>
        <w:separator/>
      </w:r>
    </w:p>
  </w:endnote>
  <w:endnote w:type="continuationSeparator" w:id="0">
    <w:p w:rsidR="00B8320F" w:rsidRDefault="00B83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954C8C-0071-433A-9A22-578C17B0EAE0}"/>
    <w:embedBold r:id="rId2" w:fontKey="{3D5EE217-2F63-4D51-B697-3C330B46B2E9}"/>
  </w:font>
  <w:font w:name="Calibri">
    <w:panose1 w:val="020F0502020204030204"/>
    <w:charset w:val="00"/>
    <w:family w:val="swiss"/>
    <w:pitch w:val="variable"/>
    <w:sig w:usb0="E0002EFF" w:usb1="C000247B" w:usb2="00000009" w:usb3="00000000" w:csb0="000001FF" w:csb1="00000000"/>
    <w:embedRegular r:id="rId3" w:fontKey="{CAEE25FF-59DD-44DA-AC72-7065EB4B6838}"/>
  </w:font>
  <w:font w:name="Segoe UI">
    <w:panose1 w:val="020B0502040204020203"/>
    <w:charset w:val="00"/>
    <w:family w:val="swiss"/>
    <w:pitch w:val="variable"/>
    <w:sig w:usb0="E4002EFF" w:usb1="C000E47F" w:usb2="00000009" w:usb3="00000000" w:csb0="000001FF" w:csb1="00000000"/>
    <w:embedRegular r:id="rId4" w:fontKey="{22CEC52E-0C2D-4CDA-967C-3CA6A174104D}"/>
  </w:font>
  <w:font w:name="Cambria">
    <w:panose1 w:val="02040503050406030204"/>
    <w:charset w:val="00"/>
    <w:family w:val="roman"/>
    <w:pitch w:val="variable"/>
    <w:sig w:usb0="E00006FF" w:usb1="420024FF" w:usb2="02000000" w:usb3="00000000" w:csb0="0000019F" w:csb1="00000000"/>
    <w:embedRegular r:id="rId5" w:fontKey="{0B93E85C-FE26-42B8-9F38-D0C943F930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95" w:rsidRPr="0052570A" w:rsidRDefault="0052570A" w:rsidP="0052570A">
    <w:pPr>
      <w:pStyle w:val="Footer"/>
      <w:tabs>
        <w:tab w:val="clear" w:pos="4680"/>
        <w:tab w:val="clear" w:pos="9360"/>
        <w:tab w:val="center" w:pos="2995"/>
      </w:tabs>
      <w:spacing w:before="120"/>
    </w:pPr>
    <w:r>
      <w:t>[160</w:t>
    </w:r>
    <w:r w:rsidR="00DC1FF0">
      <w:t>-</w:t>
    </w:r>
    <w:r w:rsidR="00DC1FF0">
      <w:fldChar w:fldCharType="begin"/>
    </w:r>
    <w:r w:rsidR="00DC1FF0">
      <w:instrText xml:space="preserve"> PAGE  \* MERGEFORMAT </w:instrText>
    </w:r>
    <w:r w:rsidR="00DC1FF0">
      <w:fldChar w:fldCharType="separate"/>
    </w:r>
    <w:r w:rsidR="00125CDD">
      <w:rPr>
        <w:noProof/>
      </w:rPr>
      <w:t>1</w:t>
    </w:r>
    <w:r w:rsidR="00DC1FF0">
      <w:fldChar w:fldCharType="end"/>
    </w:r>
    <w:r w:rsidR="00DC1F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FF0" w:rsidRPr="0052570A" w:rsidRDefault="00DC1FF0" w:rsidP="0052570A">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A21F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0F" w:rsidRDefault="00B8320F" w:rsidP="009F0C77">
      <w:r>
        <w:separator/>
      </w:r>
    </w:p>
  </w:footnote>
  <w:footnote w:type="continuationSeparator" w:id="0">
    <w:p w:rsidR="00B8320F" w:rsidRDefault="00B83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04WAB21"/>
    <w:docVar w:name="CoverBillType" w:val="b"/>
    <w:docVar w:name="DocPath" w:val="L:\Council\bills\RT\17804WAB21.DOCX"/>
    <w:docVar w:name="dvBillNumber" w:val="160"/>
    <w:docVar w:name="dvBillNumberPrefix" w:val="S. "/>
    <w:docVar w:name="dvOriginalBody" w:val="Senate"/>
    <w:docVar w:name="dvSteno" w:val="RT"/>
    <w:docVar w:name="NameofBody" w:val="s"/>
    <w:docVar w:name="vGroup2" w:val="Council"/>
  </w:docVars>
  <w:rsids>
    <w:rsidRoot w:val="00B8320F"/>
    <w:rsid w:val="000263D9"/>
    <w:rsid w:val="00026C9A"/>
    <w:rsid w:val="00031A9A"/>
    <w:rsid w:val="000965A1"/>
    <w:rsid w:val="000C487D"/>
    <w:rsid w:val="000E1785"/>
    <w:rsid w:val="000F39F2"/>
    <w:rsid w:val="00101172"/>
    <w:rsid w:val="001023A4"/>
    <w:rsid w:val="0010776B"/>
    <w:rsid w:val="00125CDD"/>
    <w:rsid w:val="00133E66"/>
    <w:rsid w:val="00134ACF"/>
    <w:rsid w:val="00144E15"/>
    <w:rsid w:val="00190395"/>
    <w:rsid w:val="001A4A62"/>
    <w:rsid w:val="001A681E"/>
    <w:rsid w:val="001D08F2"/>
    <w:rsid w:val="002037CA"/>
    <w:rsid w:val="002047A2"/>
    <w:rsid w:val="00223C49"/>
    <w:rsid w:val="002321B6"/>
    <w:rsid w:val="0023696B"/>
    <w:rsid w:val="00250967"/>
    <w:rsid w:val="002759C5"/>
    <w:rsid w:val="00277DEE"/>
    <w:rsid w:val="00280D88"/>
    <w:rsid w:val="00294ABE"/>
    <w:rsid w:val="002A3EB4"/>
    <w:rsid w:val="00325348"/>
    <w:rsid w:val="003870DC"/>
    <w:rsid w:val="00393688"/>
    <w:rsid w:val="003D411E"/>
    <w:rsid w:val="003E3C1E"/>
    <w:rsid w:val="003E6148"/>
    <w:rsid w:val="003E7D04"/>
    <w:rsid w:val="00400EAA"/>
    <w:rsid w:val="0041760A"/>
    <w:rsid w:val="004203D7"/>
    <w:rsid w:val="00423F46"/>
    <w:rsid w:val="00461588"/>
    <w:rsid w:val="004809EE"/>
    <w:rsid w:val="004B2A8B"/>
    <w:rsid w:val="004F554E"/>
    <w:rsid w:val="00511EE9"/>
    <w:rsid w:val="00521E00"/>
    <w:rsid w:val="0052570A"/>
    <w:rsid w:val="00577C6C"/>
    <w:rsid w:val="0058501B"/>
    <w:rsid w:val="005C5AC4"/>
    <w:rsid w:val="0061228A"/>
    <w:rsid w:val="006215AA"/>
    <w:rsid w:val="006340D9"/>
    <w:rsid w:val="00643B8E"/>
    <w:rsid w:val="00653ECC"/>
    <w:rsid w:val="00665EBC"/>
    <w:rsid w:val="00673D56"/>
    <w:rsid w:val="00680479"/>
    <w:rsid w:val="0069470D"/>
    <w:rsid w:val="006A476C"/>
    <w:rsid w:val="006C6A93"/>
    <w:rsid w:val="006E02F9"/>
    <w:rsid w:val="006F3F76"/>
    <w:rsid w:val="00753C04"/>
    <w:rsid w:val="00756946"/>
    <w:rsid w:val="00757F80"/>
    <w:rsid w:val="007628A2"/>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1FA9"/>
    <w:rsid w:val="00A607EC"/>
    <w:rsid w:val="00A64E80"/>
    <w:rsid w:val="00A741D9"/>
    <w:rsid w:val="00A84801"/>
    <w:rsid w:val="00A85589"/>
    <w:rsid w:val="00A9741D"/>
    <w:rsid w:val="00AA2CB8"/>
    <w:rsid w:val="00AB0576"/>
    <w:rsid w:val="00AD4B17"/>
    <w:rsid w:val="00B26FA6"/>
    <w:rsid w:val="00B741CB"/>
    <w:rsid w:val="00B8320F"/>
    <w:rsid w:val="00B87AF8"/>
    <w:rsid w:val="00B934F3"/>
    <w:rsid w:val="00BB6347"/>
    <w:rsid w:val="00BD2134"/>
    <w:rsid w:val="00C038D8"/>
    <w:rsid w:val="00C045DD"/>
    <w:rsid w:val="00C127FE"/>
    <w:rsid w:val="00C247A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FF0"/>
    <w:rsid w:val="00DC6813"/>
    <w:rsid w:val="00DE68F0"/>
    <w:rsid w:val="00DF3845"/>
    <w:rsid w:val="00DF7E17"/>
    <w:rsid w:val="00E437DA"/>
    <w:rsid w:val="00E62E1A"/>
    <w:rsid w:val="00E63093"/>
    <w:rsid w:val="00E72299"/>
    <w:rsid w:val="00EB00A2"/>
    <w:rsid w:val="00EB1BF3"/>
    <w:rsid w:val="00EF3EEE"/>
    <w:rsid w:val="00F149A7"/>
    <w:rsid w:val="00F50BAF"/>
    <w:rsid w:val="00F52C10"/>
    <w:rsid w:val="00F81FFD"/>
    <w:rsid w:val="00F85228"/>
    <w:rsid w:val="00F907F7"/>
    <w:rsid w:val="00FA40D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E7D3C-BFEC-4C49-83BC-ECA6A5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ABEB-9106-4AEC-9D76-5F6532B5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1376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2021-2022 Bill 160 Text of Previous Version (Dec. 9, 2020) - South Carolina Legislature Online</vt:lpstr>
    </vt:vector>
  </TitlesOfParts>
  <Company>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160 Text of Previous Version (Feb. 23, 2021) - South Carolina Legislature Online</dc:title>
  <dc:subject/>
  <dc:creator>Rebecca Turner</dc:creator>
  <cp:keywords/>
  <dc:description/>
  <cp:lastModifiedBy>Danny Crook</cp:lastModifiedBy>
  <cp:revision>2</cp:revision>
  <cp:lastPrinted>2021-02-17T19:57:00Z</cp:lastPrinted>
  <dcterms:created xsi:type="dcterms:W3CDTF">2021-02-23T21:19:00Z</dcterms:created>
  <dcterms:modified xsi:type="dcterms:W3CDTF">2021-02-23T21:19:00Z</dcterms:modified>
</cp:coreProperties>
</file>