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434" w:rsidRPr="00522CE0" w:rsidRDefault="002D7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7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338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12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95FA0">
        <w:rPr>
          <w:color w:val="000000" w:themeColor="text1"/>
          <w:u w:color="000000" w:themeColor="text1"/>
        </w:rPr>
        <w:t xml:space="preserve">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3386" w:rsidRDefault="003E3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3386" w:rsidRDefault="003E3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2BF" w:rsidRPr="00D534DC" w:rsidRDefault="003E3386"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112BF" w:rsidRPr="00D534DC">
        <w:rPr>
          <w:rFonts w:eastAsia="Times New Roman"/>
          <w:color w:val="000000" w:themeColor="text1"/>
          <w:szCs w:val="20"/>
          <w:u w:color="000000" w:themeColor="text1"/>
        </w:rPr>
        <w:t>(A)</w:t>
      </w:r>
      <w:r w:rsidR="008112BF" w:rsidRPr="00D534DC">
        <w:rPr>
          <w:rFonts w:eastAsia="Times New Roman"/>
          <w:color w:val="000000" w:themeColor="text1"/>
          <w:szCs w:val="20"/>
          <w:u w:color="000000" w:themeColor="text1"/>
        </w:rPr>
        <w:tab/>
        <w:t>For</w:t>
      </w:r>
      <w:r w:rsidR="008112BF">
        <w:rPr>
          <w:rFonts w:eastAsia="Times New Roman"/>
          <w:color w:val="000000" w:themeColor="text1"/>
          <w:szCs w:val="20"/>
          <w:u w:color="000000" w:themeColor="text1"/>
        </w:rPr>
        <w:t xml:space="preserve"> the</w:t>
      </w:r>
      <w:r w:rsidR="008112BF" w:rsidRPr="00D534DC">
        <w:rPr>
          <w:rFonts w:eastAsia="Times New Roman"/>
          <w:color w:val="000000" w:themeColor="text1"/>
          <w:szCs w:val="20"/>
          <w:u w:color="000000" w:themeColor="text1"/>
        </w:rPr>
        <w:t xml:space="preserve"> purposes of this section:</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(1)</w:t>
      </w:r>
      <w:r w:rsidRPr="00D534DC">
        <w:rPr>
          <w:rFonts w:eastAsia="Times New Roman"/>
          <w:color w:val="000000" w:themeColor="text1"/>
          <w:szCs w:val="20"/>
          <w:u w:color="000000" w:themeColor="text1"/>
        </w:rPr>
        <w:tab/>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MCL</w:t>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means maximum contaminant level, or the legal threshold on the amount of a substance that is allowed in a publi</w:t>
      </w:r>
      <w:r>
        <w:rPr>
          <w:rFonts w:eastAsia="Times New Roman"/>
          <w:color w:val="000000" w:themeColor="text1"/>
          <w:szCs w:val="20"/>
          <w:u w:color="000000" w:themeColor="text1"/>
        </w:rPr>
        <w:t xml:space="preserve">c </w:t>
      </w:r>
      <w:r w:rsidRPr="00D534DC">
        <w:rPr>
          <w:rFonts w:eastAsia="Times New Roman"/>
          <w:color w:val="000000" w:themeColor="text1"/>
          <w:szCs w:val="20"/>
          <w:u w:color="000000" w:themeColor="text1"/>
        </w:rPr>
        <w:t>water system.</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PFAS</w:t>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means per</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 xml:space="preserve"> and polyfluoroalkyl substance.</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PFOA</w:t>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means perfluorooctanoic acid. </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(4)</w:t>
      </w:r>
      <w:r w:rsidRPr="00D534DC">
        <w:rPr>
          <w:rFonts w:eastAsia="Times New Roman"/>
          <w:color w:val="000000" w:themeColor="text1"/>
          <w:szCs w:val="20"/>
          <w:u w:color="000000" w:themeColor="text1"/>
        </w:rPr>
        <w:tab/>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PFOS</w:t>
      </w:r>
      <w:r w:rsidR="002D717A">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means perfluorooctanesulfonic acid.</w:t>
      </w:r>
    </w:p>
    <w:p w:rsidR="008112BF" w:rsidRPr="00D534DC" w:rsidRDefault="008112BF" w:rsidP="00D37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D534DC">
        <w:rPr>
          <w:rFonts w:eastAsia="Times New Roman"/>
          <w:color w:val="000000" w:themeColor="text1"/>
          <w:szCs w:val="20"/>
          <w:u w:color="000000" w:themeColor="text1"/>
        </w:rPr>
        <w:t>It is the goal of the State of South Carolina to protect residents from harmful toxins in drinking water.</w:t>
      </w:r>
    </w:p>
    <w:p w:rsidR="008112BF" w:rsidRPr="00D534DC" w:rsidRDefault="008112BF" w:rsidP="002D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t>(</w:t>
      </w:r>
      <w:r>
        <w:rPr>
          <w:rFonts w:eastAsia="Times New Roman"/>
          <w:color w:val="000000" w:themeColor="text1"/>
          <w:szCs w:val="20"/>
          <w:u w:color="000000" w:themeColor="text1"/>
        </w:rPr>
        <w:t>C</w:t>
      </w:r>
      <w:r w:rsidRPr="00D534DC">
        <w:rPr>
          <w:rFonts w:eastAsia="Times New Roman"/>
          <w:color w:val="000000" w:themeColor="text1"/>
          <w:szCs w:val="20"/>
          <w:u w:color="000000" w:themeColor="text1"/>
        </w:rPr>
        <w:t>)</w:t>
      </w:r>
      <w:r w:rsidRPr="00D534DC">
        <w:rPr>
          <w:rFonts w:eastAsia="Times New Roman"/>
          <w:color w:val="000000" w:themeColor="text1"/>
          <w:szCs w:val="20"/>
          <w:u w:color="000000" w:themeColor="text1"/>
        </w:rPr>
        <w:tab/>
        <w:t>Within one hundred days of the effective date</w:t>
      </w:r>
      <w:r>
        <w:rPr>
          <w:rFonts w:eastAsia="Times New Roman"/>
          <w:color w:val="000000" w:themeColor="text1"/>
          <w:szCs w:val="20"/>
          <w:u w:color="000000" w:themeColor="text1"/>
        </w:rPr>
        <w:t xml:space="preserve"> of this act, the 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commence, in accordance with subsections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and (</w:t>
      </w:r>
      <w:r>
        <w:rPr>
          <w:rFonts w:eastAsia="Times New Roman"/>
          <w:color w:val="000000" w:themeColor="text1"/>
          <w:szCs w:val="20"/>
          <w:u w:color="000000" w:themeColor="text1"/>
        </w:rPr>
        <w:t>E</w:t>
      </w:r>
      <w:r w:rsidRPr="00D534DC">
        <w:rPr>
          <w:rFonts w:eastAsia="Times New Roman"/>
          <w:color w:val="000000" w:themeColor="text1"/>
          <w:szCs w:val="20"/>
          <w:u w:color="000000" w:themeColor="text1"/>
        </w:rPr>
        <w:t>), the regulatory process authorized in Section 44</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55</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30 to promulgate regulations that establish MCLs for likely or known carcinogens and toxic chemicals likely to pose a substantial health hazard in public water systems.</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sidRPr="00D534DC">
        <w:rPr>
          <w:rFonts w:eastAsia="Times New Roman"/>
          <w:color w:val="000000" w:themeColor="text1"/>
          <w:szCs w:val="20"/>
          <w:u w:color="000000" w:themeColor="text1"/>
        </w:rPr>
        <w:t>)</w:t>
      </w:r>
      <w:r w:rsidRPr="00D534DC">
        <w:rPr>
          <w:rFonts w:eastAsia="Times New Roman"/>
          <w:color w:val="000000" w:themeColor="text1"/>
          <w:szCs w:val="20"/>
          <w:u w:color="000000" w:themeColor="text1"/>
        </w:rPr>
        <w:tab/>
        <w:t xml:space="preserve">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promulgate regulations that establish statewide MCLs for the following pollutants in public water systems:</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(1)</w:t>
      </w:r>
      <w:r w:rsidRPr="00D534DC">
        <w:rPr>
          <w:rFonts w:eastAsia="Times New Roman"/>
          <w:color w:val="000000" w:themeColor="text1"/>
          <w:szCs w:val="20"/>
          <w:u w:color="000000" w:themeColor="text1"/>
        </w:rPr>
        <w:tab/>
        <w:t>PFOS, PFOA, and other PFAS compounds;</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chromium</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 xml:space="preserve">6; </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1, 4 dioxane; and</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lastRenderedPageBreak/>
        <w:tab/>
      </w:r>
      <w:r w:rsidRPr="00D534DC">
        <w:rPr>
          <w:rFonts w:eastAsia="Times New Roman"/>
          <w:color w:val="000000" w:themeColor="text1"/>
          <w:szCs w:val="20"/>
          <w:u w:color="000000" w:themeColor="text1"/>
        </w:rPr>
        <w:tab/>
        <w:t>(4)</w:t>
      </w:r>
      <w:r w:rsidRPr="00D534DC">
        <w:rPr>
          <w:rFonts w:eastAsia="Times New Roman"/>
          <w:color w:val="000000" w:themeColor="text1"/>
          <w:szCs w:val="20"/>
          <w:u w:color="000000" w:themeColor="text1"/>
        </w:rPr>
        <w:tab/>
        <w:t>any other public water system pollutants for which at least two other states have established MCLs or</w:t>
      </w:r>
      <w:r>
        <w:rPr>
          <w:rFonts w:eastAsia="Times New Roman"/>
          <w:color w:val="000000" w:themeColor="text1"/>
          <w:szCs w:val="20"/>
          <w:u w:color="000000" w:themeColor="text1"/>
        </w:rPr>
        <w:t xml:space="preserve"> issued public health guidance.</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sidRPr="00D534DC">
        <w:rPr>
          <w:rFonts w:eastAsia="Times New Roman"/>
          <w:color w:val="000000" w:themeColor="text1"/>
          <w:szCs w:val="20"/>
          <w:u w:color="000000" w:themeColor="text1"/>
        </w:rPr>
        <w:t>)(1)</w:t>
      </w:r>
      <w:r w:rsidRPr="00D534DC">
        <w:rPr>
          <w:rFonts w:eastAsia="Times New Roman"/>
          <w:color w:val="000000" w:themeColor="text1"/>
          <w:szCs w:val="20"/>
          <w:u w:color="000000" w:themeColor="text1"/>
        </w:rPr>
        <w:tab/>
        <w:t xml:space="preserve">As </w:t>
      </w:r>
      <w:r w:rsidR="002D717A">
        <w:rPr>
          <w:rFonts w:eastAsia="Times New Roman"/>
          <w:color w:val="000000" w:themeColor="text1"/>
          <w:szCs w:val="20"/>
          <w:u w:color="000000" w:themeColor="text1"/>
        </w:rPr>
        <w:t xml:space="preserve">a </w:t>
      </w:r>
      <w:r w:rsidRPr="00D534DC">
        <w:rPr>
          <w:rFonts w:eastAsia="Times New Roman"/>
          <w:color w:val="000000" w:themeColor="text1"/>
          <w:szCs w:val="20"/>
          <w:u w:color="000000" w:themeColor="text1"/>
        </w:rPr>
        <w:t>part of promulgating regulations pursuant to subsecti</w:t>
      </w:r>
      <w:r>
        <w:rPr>
          <w:rFonts w:eastAsia="Times New Roman"/>
          <w:color w:val="000000" w:themeColor="text1"/>
          <w:szCs w:val="20"/>
          <w:u w:color="000000" w:themeColor="text1"/>
        </w:rPr>
        <w:t>ons (C</w:t>
      </w:r>
      <w:r w:rsidRPr="00D534DC">
        <w:rPr>
          <w:rFonts w:eastAsia="Times New Roman"/>
          <w:color w:val="000000" w:themeColor="text1"/>
          <w:szCs w:val="20"/>
          <w:u w:color="000000" w:themeColor="text1"/>
        </w:rPr>
        <w:t>) and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 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review MCLs adopted by other states, the studies and scientific evidence reviewed by those states, data and other information maintained by the Agency for Toxic Substances and Disease Registry, and the latest peer</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reviewed science and independent or governmental agency public water system studies.</w:t>
      </w:r>
    </w:p>
    <w:p w:rsidR="008112BF" w:rsidRPr="00D534DC"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An MCL promulgated pursuant to this section must protect public health, including vulnerable populations</w:t>
      </w:r>
      <w:r>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such as pregnant </w:t>
      </w:r>
      <w:r w:rsidR="002D717A">
        <w:rPr>
          <w:rFonts w:eastAsia="Times New Roman"/>
          <w:color w:val="000000" w:themeColor="text1"/>
          <w:szCs w:val="20"/>
          <w:u w:color="000000" w:themeColor="text1"/>
        </w:rPr>
        <w:t>or</w:t>
      </w:r>
      <w:r w:rsidR="002D717A" w:rsidRPr="00D534DC">
        <w:rPr>
          <w:rFonts w:eastAsia="Times New Roman"/>
          <w:color w:val="000000" w:themeColor="text1"/>
          <w:szCs w:val="20"/>
          <w:u w:color="000000" w:themeColor="text1"/>
        </w:rPr>
        <w:t xml:space="preserve"> </w:t>
      </w:r>
      <w:r w:rsidRPr="00D534DC">
        <w:rPr>
          <w:rFonts w:eastAsia="Times New Roman"/>
          <w:color w:val="000000" w:themeColor="text1"/>
          <w:szCs w:val="20"/>
          <w:u w:color="000000" w:themeColor="text1"/>
        </w:rPr>
        <w:t>nursing mothers, infants, and children, and in no case may an MCL exceed an MCL or health advisory promulgated by the United States Envi</w:t>
      </w:r>
      <w:r>
        <w:rPr>
          <w:rFonts w:eastAsia="Times New Roman"/>
          <w:color w:val="000000" w:themeColor="text1"/>
          <w:szCs w:val="20"/>
          <w:u w:color="000000" w:themeColor="text1"/>
        </w:rPr>
        <w:t>ronmental Protection Agency.</w:t>
      </w:r>
    </w:p>
    <w:p w:rsidR="003E3386" w:rsidRPr="008112BF" w:rsidRDefault="008112BF" w:rsidP="008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 xml:space="preserve">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annually review the latest peer</w:t>
      </w:r>
      <w:r w:rsidR="00653FD2">
        <w:rPr>
          <w:rFonts w:eastAsia="Times New Roman"/>
          <w:color w:val="000000" w:themeColor="text1"/>
          <w:szCs w:val="20"/>
          <w:u w:color="000000" w:themeColor="text1"/>
        </w:rPr>
        <w:noBreakHyphen/>
      </w:r>
      <w:r w:rsidRPr="00D534DC">
        <w:rPr>
          <w:rFonts w:eastAsia="Times New Roman"/>
          <w:color w:val="000000" w:themeColor="text1"/>
          <w:szCs w:val="20"/>
          <w:u w:color="000000" w:themeColor="text1"/>
        </w:rPr>
        <w:t>reviewed science and independent or governmental agency studies and promulgate, if necessary, additional or revised regulations to ensure compliance with item (2).</w:t>
      </w:r>
    </w:p>
    <w:p w:rsidR="003E3386" w:rsidRDefault="003E3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386" w:rsidRPr="00522CE0" w:rsidRDefault="003E3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12BF">
        <w:rPr>
          <w:rFonts w:eastAsia="Times New Roman"/>
        </w:rPr>
        <w:t>2</w:t>
      </w:r>
      <w:r>
        <w:rPr>
          <w:rFonts w:eastAsia="Times New Roman"/>
        </w:rPr>
        <w:t>.</w:t>
      </w:r>
      <w:r>
        <w:rPr>
          <w:rFonts w:eastAsia="Times New Roman"/>
        </w:rPr>
        <w:tab/>
        <w:t>This joint resolution takes effect upon approval by the Governor.</w:t>
      </w:r>
    </w:p>
    <w:p w:rsidR="005E68EE" w:rsidRDefault="00653F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7434" w:rsidRDefault="002D7434" w:rsidP="002D7434">
      <w:pPr>
        <w:suppressAutoHyphens/>
        <w:jc w:val="both"/>
        <w:rPr>
          <w:rFonts w:eastAsia="Times New Roman"/>
        </w:rPr>
      </w:pPr>
    </w:p>
    <w:sectPr w:rsidR="002D7434" w:rsidSect="002D74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386" w:rsidRDefault="003E3386" w:rsidP="00522CE0">
      <w:r>
        <w:separator/>
      </w:r>
    </w:p>
  </w:endnote>
  <w:endnote w:type="continuationSeparator" w:id="0">
    <w:p w:rsidR="003E3386" w:rsidRDefault="003E33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66522E-A18E-434A-9F6B-2AAE5DFA91A7}"/>
    <w:embedBold r:id="rId2" w:fontKey="{31F2B68F-8869-488E-A244-31555E631A36}"/>
  </w:font>
  <w:font w:name="Calibri">
    <w:panose1 w:val="020F0502020204030204"/>
    <w:charset w:val="00"/>
    <w:family w:val="swiss"/>
    <w:pitch w:val="variable"/>
    <w:sig w:usb0="E4002EFF" w:usb1="C000247B" w:usb2="00000009" w:usb3="00000000" w:csb0="000001FF" w:csb1="00000000"/>
    <w:embedRegular r:id="rId3" w:fontKey="{EA8CE633-D675-4143-B7DC-98F973FF8B86}"/>
  </w:font>
  <w:font w:name="Segoe UI">
    <w:panose1 w:val="020B0502040204020203"/>
    <w:charset w:val="00"/>
    <w:family w:val="swiss"/>
    <w:pitch w:val="variable"/>
    <w:sig w:usb0="E4002EFF" w:usb1="C000E47F" w:usb2="00000009" w:usb3="00000000" w:csb0="000001FF" w:csb1="00000000"/>
    <w:embedRegular r:id="rId4" w:fontKey="{BA3F7449-753A-443E-844C-5C40DBD64998}"/>
  </w:font>
  <w:font w:name="Cambria">
    <w:panose1 w:val="02040503050406030204"/>
    <w:charset w:val="00"/>
    <w:family w:val="roman"/>
    <w:pitch w:val="variable"/>
    <w:sig w:usb0="E00006FF" w:usb1="420024FF" w:usb2="02000000" w:usb3="00000000" w:csb0="0000019F" w:csb1="00000000"/>
    <w:embedRegular r:id="rId5" w:fontKey="{4FEEB60F-667D-4308-B7B3-FCD37882BB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EE" w:rsidRPr="002D7434" w:rsidRDefault="002D7434" w:rsidP="002D7434">
    <w:pPr>
      <w:pStyle w:val="Footer"/>
      <w:tabs>
        <w:tab w:val="clear" w:pos="4680"/>
        <w:tab w:val="clear" w:pos="9360"/>
        <w:tab w:val="center" w:pos="2995"/>
      </w:tabs>
      <w:spacing w:before="120"/>
    </w:pPr>
    <w:r>
      <w:t>[219]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386" w:rsidRDefault="003E3386" w:rsidP="00522CE0">
      <w:r>
        <w:separator/>
      </w:r>
    </w:p>
  </w:footnote>
  <w:footnote w:type="continuationSeparator" w:id="0">
    <w:p w:rsidR="003E3386" w:rsidRDefault="003E33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UBL.SP.JTM"/>
    <w:docVar w:name="CoverAttorneyInitials" w:val="SP"/>
    <w:docVar w:name="CoverAttorneyLastName" w:val="Parrish"/>
    <w:docVar w:name="CoverBillType" w:val="j"/>
    <w:docVar w:name="CoverSenator" w:val="JTM"/>
    <w:docVar w:name="dvBillNumber" w:val="219"/>
    <w:docVar w:name="dvBillNumberPrefix" w:val="S. "/>
    <w:docVar w:name="dvOriginalBody" w:val="Senate"/>
    <w:docVar w:name="fulldraftpath" w:val="L:\S-RES\JTM\005PUBL.SP.JTM.DOCX"/>
    <w:docVar w:name="NameofBody" w:val="S"/>
    <w:docVar w:name="vgroup2" w:val="S-RES"/>
  </w:docVars>
  <w:rsids>
    <w:rsidRoot w:val="003E338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717A"/>
    <w:rsid w:val="002D7434"/>
    <w:rsid w:val="00307C2B"/>
    <w:rsid w:val="00315D04"/>
    <w:rsid w:val="00383247"/>
    <w:rsid w:val="003D6E2B"/>
    <w:rsid w:val="003E3386"/>
    <w:rsid w:val="003E7597"/>
    <w:rsid w:val="003F119A"/>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68EE"/>
    <w:rsid w:val="005F07AC"/>
    <w:rsid w:val="005F1745"/>
    <w:rsid w:val="00653FD2"/>
    <w:rsid w:val="00664305"/>
    <w:rsid w:val="006A1802"/>
    <w:rsid w:val="006C0CBB"/>
    <w:rsid w:val="006C74EA"/>
    <w:rsid w:val="006F56CF"/>
    <w:rsid w:val="00720D40"/>
    <w:rsid w:val="007318D4"/>
    <w:rsid w:val="00765784"/>
    <w:rsid w:val="00772BE4"/>
    <w:rsid w:val="007A4390"/>
    <w:rsid w:val="007E5CB7"/>
    <w:rsid w:val="008112BF"/>
    <w:rsid w:val="008314D2"/>
    <w:rsid w:val="00870F6F"/>
    <w:rsid w:val="008B2F42"/>
    <w:rsid w:val="008C3697"/>
    <w:rsid w:val="008E185F"/>
    <w:rsid w:val="008F023B"/>
    <w:rsid w:val="00904E16"/>
    <w:rsid w:val="009158F1"/>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531F"/>
    <w:rsid w:val="00BA20EA"/>
    <w:rsid w:val="00BB5AFC"/>
    <w:rsid w:val="00BC026E"/>
    <w:rsid w:val="00BC0A56"/>
    <w:rsid w:val="00C45366"/>
    <w:rsid w:val="00C57023"/>
    <w:rsid w:val="00C74052"/>
    <w:rsid w:val="00C846DB"/>
    <w:rsid w:val="00CB187A"/>
    <w:rsid w:val="00CC0EC7"/>
    <w:rsid w:val="00CC251A"/>
    <w:rsid w:val="00CF2C98"/>
    <w:rsid w:val="00D1088B"/>
    <w:rsid w:val="00D1286F"/>
    <w:rsid w:val="00D14DE6"/>
    <w:rsid w:val="00D156D2"/>
    <w:rsid w:val="00D35486"/>
    <w:rsid w:val="00D37E40"/>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449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BA3A1C2-071F-452F-B595-5637D4D72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D7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1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2173</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219 Text of Previous Version (Dec. 9, 2020) - South Carolina Legislature Online</dc:title>
  <dc:subject/>
  <dc:creator>Sara Parrish</dc:creator>
  <cp:keywords/>
  <dc:description/>
  <cp:lastModifiedBy>Sade Wilson</cp:lastModifiedBy>
  <cp:revision>2</cp:revision>
  <dcterms:created xsi:type="dcterms:W3CDTF">2020-12-12T03:26:00Z</dcterms:created>
  <dcterms:modified xsi:type="dcterms:W3CDTF">2020-12-12T03:26:00Z</dcterms:modified>
</cp:coreProperties>
</file>