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2AE" w:rsidRPr="00522CE0" w:rsidRDefault="00EF22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F2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B75D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10E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22-1-10(A) OF THE 1976 CODE, RELATING TO THE APPOINTMENT OF MAGISTRATES, TO PROVIDE THAT A MAGISTRATE MAY SERVE IN HOLDOVER STATUS FOR NO MORE THAN FOURTEEN DAYS AT THE END OF HIS TERM, TO PROVIDE THAT THE GOVERNOR MAY APPOINT A TEMPORARY MAGISTRATE UNDER CERTAIN CIRCUMSTANCES, AND TO PROVIDE THAT </w:t>
      </w:r>
      <w:r w:rsidRPr="00D86474">
        <w:t>ANY MAGISTRATE OR MAGISTRATE CANDIDATE WHO HAS BEEN REPRIMANDED BY THE SUPREME COURT OR ANY OTHER DISCIPLINARY AUTHORITY MAY NOT BE APPOINTED OR REAPPOINTED UNLESS APPROVED BY A MAJORITY OF THE SENATE AFTER THE SENATE IS INFORMED OF THE REPRIMAND OR DISCIPLINARY ACTION</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B75D4" w:rsidRDefault="001B7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B75D4" w:rsidRDefault="001B7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EB3" w:rsidRDefault="001B75D4" w:rsidP="00010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10EB3">
        <w:rPr>
          <w:rFonts w:eastAsia="Times New Roman"/>
        </w:rPr>
        <w:t>Section 22-1-10(A) of the 1976 Code is amended to read:</w:t>
      </w:r>
    </w:p>
    <w:p w:rsidR="00010EB3" w:rsidRDefault="00010EB3" w:rsidP="00010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0EB3" w:rsidRDefault="00010EB3" w:rsidP="00010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22-1-10.</w:t>
      </w:r>
      <w:r>
        <w:rPr>
          <w:rFonts w:eastAsia="Times New Roman"/>
        </w:rPr>
        <w:tab/>
      </w:r>
      <w:r w:rsidRPr="00FE5CF0">
        <w:t>(A)</w:t>
      </w:r>
      <w:r>
        <w:rPr>
          <w:u w:val="single"/>
        </w:rPr>
        <w:t>(1)</w:t>
      </w:r>
      <w:r>
        <w:tab/>
      </w:r>
      <w:r w:rsidRPr="00FE5CF0">
        <w:t xml:space="preserve">The Governor, by and with the advice and consent of the Senate, may appoint magistrates in each county of the State for a term of four years </w:t>
      </w:r>
      <w:r w:rsidRPr="000B60D2">
        <w:t>and until their successors are appointed and qualified</w:t>
      </w:r>
      <w:r>
        <w:t xml:space="preserve"> </w:t>
      </w:r>
      <w:r>
        <w:rPr>
          <w:u w:val="single"/>
        </w:rPr>
        <w:t>pursuant to item (2)</w:t>
      </w:r>
      <w:r w:rsidRPr="00FE5CF0">
        <w:t>, or</w:t>
      </w:r>
      <w:r>
        <w:t xml:space="preserve"> </w:t>
      </w:r>
      <w:r>
        <w:rPr>
          <w:u w:val="single"/>
        </w:rPr>
        <w:t>until</w:t>
      </w:r>
      <w:r w:rsidRPr="00FE5CF0">
        <w:t xml:space="preserve"> their positions are terminated as provided in subsection (B), Section 22</w:t>
      </w:r>
      <w:r w:rsidR="000061C0">
        <w:noBreakHyphen/>
      </w:r>
      <w:r w:rsidRPr="00FE5CF0">
        <w:t>1</w:t>
      </w:r>
      <w:r w:rsidR="000061C0">
        <w:noBreakHyphen/>
      </w:r>
      <w:r w:rsidRPr="00FE5CF0">
        <w:t>30, or Section 22</w:t>
      </w:r>
      <w:r w:rsidR="000061C0">
        <w:noBreakHyphen/>
      </w:r>
      <w:r w:rsidRPr="00FE5CF0">
        <w:t>2</w:t>
      </w:r>
      <w:r w:rsidR="000061C0">
        <w:noBreakHyphen/>
      </w:r>
      <w:r w:rsidRPr="00FE5CF0">
        <w:t>40.</w:t>
      </w:r>
    </w:p>
    <w:p w:rsidR="00010EB3" w:rsidRPr="007955B2" w:rsidRDefault="00010EB3" w:rsidP="00010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rPr>
          <w:u w:val="single"/>
        </w:rPr>
        <w:t>(2)</w:t>
      </w:r>
      <w:r>
        <w:tab/>
      </w:r>
      <w:r>
        <w:rPr>
          <w:u w:val="single"/>
        </w:rPr>
        <w:t xml:space="preserve">A magistrate may </w:t>
      </w:r>
      <w:r w:rsidR="009F2817">
        <w:rPr>
          <w:u w:val="single"/>
        </w:rPr>
        <w:t xml:space="preserve">serve in a </w:t>
      </w:r>
      <w:r>
        <w:rPr>
          <w:u w:val="single"/>
        </w:rPr>
        <w:t>holdover</w:t>
      </w:r>
      <w:r w:rsidR="009F2817">
        <w:rPr>
          <w:u w:val="single"/>
        </w:rPr>
        <w:t xml:space="preserve"> capacity</w:t>
      </w:r>
      <w:r>
        <w:rPr>
          <w:u w:val="single"/>
        </w:rPr>
        <w:t xml:space="preserve"> for no more than fourteen days from the expiration of the magistrate’s term. If a magistrate is not appointed within this time because of the Senate’s failure to give advice and consent, then the Governor may make a temporary appointment until advice and consent is received for a </w:t>
      </w:r>
      <w:r>
        <w:rPr>
          <w:u w:val="single"/>
        </w:rPr>
        <w:lastRenderedPageBreak/>
        <w:t>permanent appointment. Any magistrate or magistrate candidate who has been reprimanded by the Supreme Court of South Carolina or any other disciplinary authority may not be appointed or reappointed unless approved by a majority of the Senate after the Senate is informed of the reprimand or disciplinary action.</w:t>
      </w:r>
    </w:p>
    <w:p w:rsidR="00010EB3" w:rsidRPr="00F22B08" w:rsidRDefault="009F2817" w:rsidP="00010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010EB3" w:rsidRPr="00F22B08">
        <w:tab/>
      </w:r>
      <w:r w:rsidR="00010EB3">
        <w:rPr>
          <w:u w:val="single"/>
        </w:rPr>
        <w:t>(3)</w:t>
      </w:r>
      <w:r w:rsidR="00010EB3">
        <w:tab/>
      </w:r>
      <w:r w:rsidR="00010EB3" w:rsidRPr="00F22B08">
        <w:t>Magistrates serving the counties of Abbeville, Allendale, Bamberg, Beaufort, Calhoun, Cherokee, Chesterfield, Clarendon, Colleton, Dillon, Edgefield, Florence, Greenville, Hampton, Jasper, Lancaster, Lee, Marion, McCormick, Oconee, Pickens, Saluda, Sumter, and Williamsburg shall serve terms of four years commencing May 1, 1990. Magistrates serving the counties of Aiken, Anderson, Barnwell, Berkeley, Charleston, Chester, Darlington, Dorchester, Fairfield, Georgetown, Greenwood, Horry, Kershaw, Laurens, Lexington, Marlboro, Newberry, Orangeburg, Richland, Spartanburg, Union, and York shall serve terms of four years commencing May 1, 1991.</w:t>
      </w:r>
    </w:p>
    <w:p w:rsidR="00010EB3" w:rsidRDefault="009F2817" w:rsidP="00010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010EB3">
        <w:tab/>
      </w:r>
      <w:r w:rsidR="00010EB3">
        <w:rPr>
          <w:u w:val="single"/>
        </w:rPr>
        <w:t>(4)</w:t>
      </w:r>
      <w:r w:rsidR="00010EB3">
        <w:tab/>
      </w:r>
      <w:r w:rsidR="00010EB3" w:rsidRPr="00FE5CF0">
        <w:t>At least ninety days before the date of the commencement of the terms provided in the preceding paragraph and every four years thereafter, each county governing body must inform, in writing, the Senators representing that county of the number of full</w:t>
      </w:r>
      <w:r w:rsidR="000061C0">
        <w:noBreakHyphen/>
      </w:r>
      <w:r w:rsidR="00010EB3" w:rsidRPr="00FE5CF0">
        <w:t>time and part</w:t>
      </w:r>
      <w:r w:rsidR="000061C0">
        <w:noBreakHyphen/>
      </w:r>
      <w:r w:rsidR="00010EB3" w:rsidRPr="00FE5CF0">
        <w:t>time magistrate positions available in the county, the number of work hours required by each position, the compensation for each position, and the area of the county to which each position is assigned. If the county governing body fails to inform, in writing, the Senators representing that county of the information as required in this section, then the compensation, hours, and location of the full</w:t>
      </w:r>
      <w:r w:rsidR="000061C0">
        <w:noBreakHyphen/>
      </w:r>
      <w:r w:rsidR="00010EB3" w:rsidRPr="00FE5CF0">
        <w:t>time and part</w:t>
      </w:r>
      <w:r w:rsidR="000061C0">
        <w:noBreakHyphen/>
      </w:r>
      <w:r w:rsidR="00010EB3" w:rsidRPr="00FE5CF0">
        <w:t>time magistrate positions available in the county remain as designated for the previous four years.</w:t>
      </w:r>
    </w:p>
    <w:p w:rsidR="00010EB3" w:rsidRDefault="00010EB3" w:rsidP="00010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FE5CF0">
        <w:tab/>
      </w:r>
      <w:r>
        <w:rPr>
          <w:u w:val="single"/>
        </w:rPr>
        <w:t>(5)</w:t>
      </w:r>
      <w:r>
        <w:tab/>
      </w:r>
      <w:r w:rsidRPr="00FE5CF0">
        <w:t>Each magistrate's number of work hours, compensation, and work location must remain the same throughout the term of office, except for a change (1) specifically allowed by statute or (2) authorized by the county governing body at least four years after the magistrate's most recent appointment and after a material change in conditions has occurred which warrants the change. Nothing provided in this section prohibits the raising of compensation or hours and compensation during a term of office. No magistrate may be paid for work not performed except for bona fide illness or as otherwise provided by law.</w:t>
      </w:r>
    </w:p>
    <w:p w:rsidR="001B75D4" w:rsidRPr="00010EB3" w:rsidRDefault="009F2817" w:rsidP="00010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010EB3" w:rsidRPr="00F22B08">
        <w:tab/>
      </w:r>
      <w:r w:rsidR="00010EB3">
        <w:rPr>
          <w:u w:val="single"/>
        </w:rPr>
        <w:t>(6)</w:t>
      </w:r>
      <w:r w:rsidR="00010EB3">
        <w:tab/>
      </w:r>
      <w:r w:rsidR="00010EB3" w:rsidRPr="00F22B08">
        <w:t>The number of magistrates to be appointed for each county and their territorial jurisdiction are as prescribed by law before March 2, 1897, for trial justices in the respective counties of the State, except as otherwise provided in this section.”</w:t>
      </w:r>
    </w:p>
    <w:p w:rsidR="001B75D4" w:rsidRDefault="001B7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75D4" w:rsidRPr="00522CE0" w:rsidRDefault="001B75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10EB3">
        <w:rPr>
          <w:rFonts w:eastAsia="Times New Roman"/>
        </w:rPr>
        <w:t>2</w:t>
      </w:r>
      <w:r>
        <w:rPr>
          <w:rFonts w:eastAsia="Times New Roman"/>
        </w:rPr>
        <w:t>.</w:t>
      </w:r>
      <w:r>
        <w:rPr>
          <w:rFonts w:eastAsia="Times New Roman"/>
        </w:rPr>
        <w:tab/>
        <w:t>This act takes effect upon approval by the Governor.</w:t>
      </w:r>
    </w:p>
    <w:p w:rsidR="004E448A" w:rsidRDefault="000061C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F22AE" w:rsidRDefault="00EF22AE" w:rsidP="00EF22AE">
      <w:pPr>
        <w:suppressAutoHyphens/>
        <w:jc w:val="both"/>
        <w:rPr>
          <w:rFonts w:eastAsia="Times New Roman"/>
        </w:rPr>
      </w:pPr>
    </w:p>
    <w:sectPr w:rsidR="00EF22AE" w:rsidSect="00EF22A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5D4" w:rsidRDefault="001B75D4" w:rsidP="00522CE0">
      <w:r>
        <w:separator/>
      </w:r>
    </w:p>
  </w:endnote>
  <w:endnote w:type="continuationSeparator" w:id="0">
    <w:p w:rsidR="001B75D4" w:rsidRDefault="001B75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FBE700C-60B6-4420-948F-D369D5FEF940}"/>
    <w:embedBold r:id="rId2" w:fontKey="{E0C3E5BA-50A1-445F-90AA-17D4F00113FD}"/>
  </w:font>
  <w:font w:name="Calibri">
    <w:panose1 w:val="020F0502020204030204"/>
    <w:charset w:val="00"/>
    <w:family w:val="swiss"/>
    <w:pitch w:val="variable"/>
    <w:sig w:usb0="E4002EFF" w:usb1="C000247B" w:usb2="00000009" w:usb3="00000000" w:csb0="000001FF" w:csb1="00000000"/>
    <w:embedRegular r:id="rId3" w:fontKey="{DF639CF7-D464-4618-8D0C-781A9967334D}"/>
  </w:font>
  <w:font w:name="Segoe UI">
    <w:panose1 w:val="020B0502040204020203"/>
    <w:charset w:val="00"/>
    <w:family w:val="swiss"/>
    <w:pitch w:val="variable"/>
    <w:sig w:usb0="E4002EFF" w:usb1="C000E47F" w:usb2="00000009" w:usb3="00000000" w:csb0="000001FF" w:csb1="00000000"/>
    <w:embedRegular r:id="rId4" w:fontKey="{86AE26CB-64D5-403A-B005-3773C2E8D13E}"/>
  </w:font>
  <w:font w:name="Cambria">
    <w:panose1 w:val="02040503050406030204"/>
    <w:charset w:val="00"/>
    <w:family w:val="roman"/>
    <w:pitch w:val="variable"/>
    <w:sig w:usb0="E00006FF" w:usb1="420024FF" w:usb2="02000000" w:usb3="00000000" w:csb0="0000019F" w:csb1="00000000"/>
    <w:embedRegular r:id="rId5" w:fontKey="{2A43E78E-FE98-4A1E-9599-4EF5BD4090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48A" w:rsidRPr="00EF22AE" w:rsidRDefault="00EF22AE" w:rsidP="00EF22AE">
    <w:pPr>
      <w:pStyle w:val="Footer"/>
      <w:tabs>
        <w:tab w:val="clear" w:pos="4680"/>
        <w:tab w:val="clear" w:pos="9360"/>
        <w:tab w:val="center" w:pos="2995"/>
      </w:tabs>
      <w:spacing w:before="120"/>
    </w:pPr>
    <w:r>
      <w:t>[246]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5D4" w:rsidRDefault="001B75D4" w:rsidP="00522CE0">
      <w:r>
        <w:separator/>
      </w:r>
    </w:p>
  </w:footnote>
  <w:footnote w:type="continuationSeparator" w:id="0">
    <w:p w:rsidR="001B75D4" w:rsidRDefault="001B75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MAGI.SP.TRY"/>
    <w:docVar w:name="CoverAttorneyInitials" w:val="SP"/>
    <w:docVar w:name="CoverAttorneyLastName" w:val="Parrish"/>
    <w:docVar w:name="CoverBillType" w:val="b"/>
    <w:docVar w:name="CoverSenator" w:val="TRY"/>
    <w:docVar w:name="dvBillNumber" w:val="246"/>
    <w:docVar w:name="dvBillNumberPrefix" w:val="S. "/>
    <w:docVar w:name="dvOriginalBody" w:val="Senate"/>
    <w:docVar w:name="fulldraftpath" w:val="L:\S-RES\TRY\009MAGI.SP.TRY.DOCX"/>
    <w:docVar w:name="NameofBody" w:val="S"/>
    <w:docVar w:name="vgroup2" w:val="S-RES"/>
  </w:docVars>
  <w:rsids>
    <w:rsidRoot w:val="001B75D4"/>
    <w:rsid w:val="000061C0"/>
    <w:rsid w:val="00010EB3"/>
    <w:rsid w:val="00031055"/>
    <w:rsid w:val="00042AC1"/>
    <w:rsid w:val="00046516"/>
    <w:rsid w:val="00072458"/>
    <w:rsid w:val="0007601D"/>
    <w:rsid w:val="000B0720"/>
    <w:rsid w:val="000B5EAF"/>
    <w:rsid w:val="001315B2"/>
    <w:rsid w:val="00170561"/>
    <w:rsid w:val="00174988"/>
    <w:rsid w:val="00186AC9"/>
    <w:rsid w:val="00197DF1"/>
    <w:rsid w:val="001A587B"/>
    <w:rsid w:val="001B3DD9"/>
    <w:rsid w:val="001B75D4"/>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4E448A"/>
    <w:rsid w:val="00522CE0"/>
    <w:rsid w:val="005264DF"/>
    <w:rsid w:val="00541951"/>
    <w:rsid w:val="00565148"/>
    <w:rsid w:val="00570403"/>
    <w:rsid w:val="00577450"/>
    <w:rsid w:val="00593361"/>
    <w:rsid w:val="005A413B"/>
    <w:rsid w:val="005A5017"/>
    <w:rsid w:val="005A648C"/>
    <w:rsid w:val="005F07AC"/>
    <w:rsid w:val="005F1745"/>
    <w:rsid w:val="006426A8"/>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427E0"/>
    <w:rsid w:val="00983951"/>
    <w:rsid w:val="00984124"/>
    <w:rsid w:val="00984640"/>
    <w:rsid w:val="00995C37"/>
    <w:rsid w:val="009C118A"/>
    <w:rsid w:val="009F2817"/>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3DA3"/>
    <w:rsid w:val="00DE5635"/>
    <w:rsid w:val="00E058D3"/>
    <w:rsid w:val="00E12CA0"/>
    <w:rsid w:val="00E2236D"/>
    <w:rsid w:val="00E76AD9"/>
    <w:rsid w:val="00E86EE2"/>
    <w:rsid w:val="00E91E2F"/>
    <w:rsid w:val="00EA3546"/>
    <w:rsid w:val="00EB47AE"/>
    <w:rsid w:val="00EC34E1"/>
    <w:rsid w:val="00EF22AE"/>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7E889C9-2976-4F34-A17C-407E00CC3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F28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8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642</Words>
  <Characters>3456</Characters>
  <Application>Microsoft Office Word</Application>
  <DocSecurity>0</DocSecurity>
  <Lines>88</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246 Text of Previous Version (Dec. 9, 2020) - South Carolina Legislature Online</dc:title>
  <dc:subject/>
  <dc:creator>Sara Parrish</dc:creator>
  <cp:keywords/>
  <dc:description/>
  <cp:lastModifiedBy>Sade Wilson</cp:lastModifiedBy>
  <cp:revision>2</cp:revision>
  <dcterms:created xsi:type="dcterms:W3CDTF">2020-12-12T03:42:00Z</dcterms:created>
  <dcterms:modified xsi:type="dcterms:W3CDTF">2020-12-12T03:42:00Z</dcterms:modified>
</cp:coreProperties>
</file>