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right" w:pos="5933"/>
        </w:tabs>
        <w:suppressAutoHyphens/>
        <w:jc w:val="both"/>
        <w:rPr>
          <w:rFonts w:eastAsia="Times New Roman"/>
        </w:rPr>
      </w:pPr>
      <w:r>
        <w:rPr>
          <w:rFonts w:eastAsia="Times New Roman"/>
        </w:rPr>
        <w:tab/>
      </w:r>
      <w:r>
        <w:rPr>
          <w:rFonts w:eastAsia="Times New Roman"/>
          <w:b/>
          <w:sz w:val="36"/>
        </w:rPr>
        <w:t>S. 295</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Fanning, Bennett and Allen</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1503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3/15/22--S</w:t>
      </w:r>
      <w:r w:rsidR="00DE053A">
        <w:rPr>
          <w:rFonts w:eastAsia="Times New Roman"/>
        </w:rPr>
        <w:t>.</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295) to amend Article 1, Chapter 1, Title 40 of the 1976 Code, relating to board regulation of professions and occupations, by adding Section 40-1-75 and, etc., respectfully</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10395">
        <w:rPr>
          <w:rFonts w:eastAsia="Times New Roman"/>
          <w:snapToGrid w:val="0"/>
          <w:szCs w:val="20"/>
        </w:rPr>
        <w:tab/>
        <w:t>Amend the bill, as and if amended, by striking all after the enacting words an inserting:</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10395">
        <w:rPr>
          <w:rFonts w:eastAsia="Times New Roman"/>
          <w:snapToGrid w:val="0"/>
          <w:szCs w:val="20"/>
        </w:rPr>
        <w:t>/</w:t>
      </w:r>
      <w:r w:rsidRPr="00910395">
        <w:rPr>
          <w:rFonts w:eastAsia="Times New Roman"/>
          <w:snapToGrid w:val="0"/>
          <w:szCs w:val="20"/>
        </w:rPr>
        <w:tab/>
      </w:r>
      <w:r w:rsidRPr="00910395">
        <w:rPr>
          <w:rFonts w:eastAsia="Times New Roman"/>
        </w:rPr>
        <w:t>SECTION</w:t>
      </w:r>
      <w:r w:rsidRPr="00910395">
        <w:rPr>
          <w:rFonts w:eastAsia="Times New Roman"/>
        </w:rPr>
        <w:tab/>
        <w:t>1.</w:t>
      </w:r>
      <w:r w:rsidRPr="00910395">
        <w:rPr>
          <w:rFonts w:eastAsia="Times New Roman"/>
        </w:rPr>
        <w:tab/>
        <w:t>Article 1, Chapter 1, Title 40 of the 1976 Code is amended by adding:</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“Section 40-1-75.</w:t>
      </w:r>
      <w:r w:rsidRPr="00910395">
        <w:rPr>
          <w:rFonts w:eastAsia="Times New Roman"/>
        </w:rPr>
        <w:tab/>
        <w:t>(A)(1)</w:t>
      </w:r>
      <w:r w:rsidRPr="00910395">
        <w:rPr>
          <w:rFonts w:eastAsia="Times New Roman"/>
        </w:rPr>
        <w:tab/>
        <w:t>A regulatory board or commission may not solely or in part deny a license to an applicant because of a prior 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 and from considering arrests without a subsequent conviction as a justification for denying an applicant a license.</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An applicant who has completed relevant pre-licensing requirements may not be denied a license unless the appropriate regulatory board or commission has given the applicant an opportunity to appear at a hearing to determine applicant’s fitness for the occupation or profession. The hearing must be scheduled within ninety days of the appropriate board or commission receiving notice that all relevant pre-licensing requirements have been completed.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lastRenderedPageBreak/>
        <w:tab/>
        <w:t>(B)(1)</w:t>
      </w:r>
      <w:r w:rsidRPr="00910395">
        <w:rPr>
          <w:rFonts w:eastAsia="Times New Roman"/>
        </w:rPr>
        <w:tab/>
        <w:t>In determining whether an applicant with a directly related criminal conviction shall be denied a license, the relevant regulatory board or commission shall apply a preponderance of the evidence standard that the applicant would pose a threat to public safety. The board or commission shall make its determination based upon the following factors: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(a)</w:t>
      </w:r>
      <w:r w:rsidRPr="00910395">
        <w:rPr>
          <w:rFonts w:eastAsia="Times New Roman"/>
        </w:rPr>
        <w:tab/>
        <w:t>the nature and severity of the crime for which the applicant was convicted;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(b)</w:t>
      </w:r>
      <w:r w:rsidRPr="00910395">
        <w:rPr>
          <w:rFonts w:eastAsia="Times New Roman"/>
        </w:rPr>
        <w:tab/>
        <w:t>the length of time since his conviction;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(c)</w:t>
      </w:r>
      <w:r w:rsidRPr="00910395">
        <w:rPr>
          <w:rFonts w:eastAsia="Times New Roman"/>
        </w:rPr>
        <w:tab/>
        <w:t>the direct relationship of the crime to the ability, capacity, and fitness required to perform the duties and discharge the responsibilities of the occupation or profession;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(d)</w:t>
      </w:r>
      <w:r w:rsidRPr="00910395">
        <w:rPr>
          <w:rFonts w:eastAsia="Times New Roman"/>
        </w:rPr>
        <w:tab/>
        <w:t>evidence of rehabilitation or treatment undertaken by the applicant that may mitigate the relationship of the crime to the ability, capacity, and fitness required to perform the duties and discharge the responsibilities of the occupation or profession; and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(e)</w:t>
      </w:r>
      <w:r w:rsidRPr="00910395">
        <w:rPr>
          <w:rFonts w:eastAsia="Times New Roman"/>
        </w:rPr>
        <w:tab/>
        <w:t>any combination of the relevant factors identified in this subsection that the regulatory board or commission determines is necessary considering the totality of the circumstances.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If a regulatory board or commission denies a license application solely or in part because of the applicant’s prior conviction of a crime, then the regulatory board or commission must notify the applicant in writing of its decision. The notice shall provide:</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(a)</w:t>
      </w:r>
      <w:r w:rsidRPr="00910395">
        <w:rPr>
          <w:rFonts w:eastAsia="Times New Roman"/>
        </w:rPr>
        <w:tab/>
        <w:t>the grounds for the denial;</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(b)</w:t>
      </w:r>
      <w:r w:rsidRPr="00910395">
        <w:rPr>
          <w:rFonts w:eastAsia="Times New Roman"/>
        </w:rPr>
        <w:tab/>
        <w:t>notice that the individual has the right to a hearing to challenge the denial;</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(c)</w:t>
      </w:r>
      <w:r w:rsidRPr="00910395">
        <w:rPr>
          <w:rFonts w:eastAsia="Times New Roman"/>
        </w:rPr>
        <w:tab/>
        <w:t>the earliest date that the applicant may again apply for licensure; and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(d)</w:t>
      </w:r>
      <w:r w:rsidRPr="00910395">
        <w:rPr>
          <w:rFonts w:eastAsia="Times New Roman"/>
        </w:rPr>
        <w:tab/>
        <w:t>a statement that evidence of rehabilitation may be considered upon reapplication.”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10395">
        <w:rPr>
          <w:rFonts w:eastAsia="Times New Roman"/>
        </w:rPr>
        <w:t>SECTION</w:t>
      </w:r>
      <w:r w:rsidRPr="00910395">
        <w:rPr>
          <w:rFonts w:eastAsia="Times New Roman"/>
        </w:rPr>
        <w:tab/>
        <w:t>2.</w:t>
      </w:r>
      <w:r w:rsidRPr="00910395">
        <w:rPr>
          <w:rFonts w:eastAsia="Times New Roman"/>
        </w:rPr>
        <w:tab/>
        <w:t>Chapter 1, Title 40 of the 1976 Code is amended by adding:</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10395">
        <w:rPr>
          <w:rFonts w:eastAsia="Times New Roman"/>
        </w:rPr>
        <w:t>/</w:t>
      </w:r>
      <w:r w:rsidRPr="00910395">
        <w:rPr>
          <w:rFonts w:eastAsia="Times New Roman"/>
        </w:rPr>
        <w:tab/>
        <w:t>“Section 40-1-77.</w:t>
      </w:r>
      <w:r w:rsidRPr="00910395">
        <w:rPr>
          <w:rFonts w:eastAsia="Times New Roman"/>
        </w:rPr>
        <w:tab/>
        <w:t>(A)</w:t>
      </w:r>
      <w:r w:rsidRPr="00910395">
        <w:rPr>
          <w:rFonts w:eastAsia="Times New Roman"/>
        </w:rPr>
        <w:tab/>
        <w:t>This section may be cited and referred to as the ‘Earn and Learn Act of 2022.’</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(B)</w:t>
      </w:r>
      <w:r w:rsidRPr="00910395">
        <w:rPr>
          <w:rFonts w:eastAsia="Times New Roman"/>
        </w:rPr>
        <w:tab/>
        <w:t xml:space="preserve">The purpose of this section is to expand economic opportunities and build a skilled workforce according to industry standards by allowing a worker to earn a paycheck while he fulfills applicable licensing requirements. </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(C)</w:t>
      </w:r>
      <w:r w:rsidRPr="00910395">
        <w:rPr>
          <w:rFonts w:eastAsia="Times New Roman"/>
        </w:rPr>
        <w:tab/>
        <w:t>For the purposes of this section: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(1)</w:t>
      </w:r>
      <w:r w:rsidRPr="00910395">
        <w:rPr>
          <w:rFonts w:eastAsia="Times New Roman"/>
        </w:rPr>
        <w:tab/>
        <w:t xml:space="preserve">‘Apprenticeship’ means a United States Department of Labor approved registered apprenticeship or industry recognized </w:t>
      </w:r>
      <w:r w:rsidRPr="00910395">
        <w:rPr>
          <w:rFonts w:eastAsia="Times New Roman"/>
        </w:rPr>
        <w:lastRenderedPageBreak/>
        <w:t xml:space="preserve">apprenticeship that encompasses an occupation or profession licensed by a South Carolina regulatory board or commission. </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‘Board’ means a government board, agency, department, or other governmental entity that regulates a profession or occupation and issues a license to an individual. This definition of ‘board’ does not include boards and commissions established and operating pursuant to Chapter 15, Title 54.</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(3)</w:t>
      </w:r>
      <w:r w:rsidRPr="00910395">
        <w:rPr>
          <w:rFonts w:eastAsia="Times New Roman"/>
        </w:rPr>
        <w:tab/>
        <w:t>‘License’ means a license, certificate, registration, permit, or other evidence that an individual is qualified to engage in an occupation or profession before that person may engage in or represent himself as a member of an occupation or profession.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(4)</w:t>
      </w:r>
      <w:r w:rsidRPr="00910395">
        <w:rPr>
          <w:rFonts w:eastAsia="Times New Roman"/>
        </w:rPr>
        <w:tab/>
        <w:t>‘Scope of practice’ means the procedures, actions, processes, and work that a person may perform pursuant to a license issued by an occupation’s or profession’s regulatory board.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10395">
        <w:rPr>
          <w:rFonts w:eastAsia="Times New Roman"/>
        </w:rPr>
        <w:t>program that meets federal guidelines as provided in 29 C.F.R. Part 29 and 29 U.S.C. Section 50.</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(D)</w:t>
      </w:r>
      <w:r w:rsidRPr="00910395">
        <w:rPr>
          <w:rFonts w:eastAsia="Times New Roman"/>
        </w:rPr>
        <w:tab/>
        <w:t>A board shall issue a license to an applicant, if the applicant:</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(1)</w:t>
      </w:r>
      <w:r w:rsidRPr="00910395">
        <w:rPr>
          <w:rFonts w:eastAsia="Times New Roman"/>
        </w:rPr>
        <w:tab/>
        <w:t xml:space="preserve">completes an apprenticeship in an occupation or profession that has a similar scope of practice, as determined by the board, to an occupation or profession regulated by this State through license requirements; </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successfully passes requisite examinations; and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(3)</w:t>
      </w:r>
      <w:r w:rsidRPr="00910395">
        <w:rPr>
          <w:rFonts w:eastAsia="Times New Roman"/>
        </w:rPr>
        <w:tab/>
        <w:t>pays all applicable fees.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(E)</w:t>
      </w:r>
      <w:r w:rsidRPr="00910395">
        <w:rPr>
          <w:rFonts w:eastAsia="Times New Roman"/>
        </w:rPr>
        <w:tab/>
        <w:t>A license issued pursuant to this section is subject to the same provisions of law governing a license for the occupation or profession.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(F)</w:t>
      </w:r>
      <w:r w:rsidRPr="00910395">
        <w:rPr>
          <w:rFonts w:eastAsia="Times New Roman"/>
        </w:rPr>
        <w:tab/>
        <w:t>A board shall not require an applicant pursuant to this section to complete an apprenticeship for a greater duration of time than that is required pursuant to federal law.</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(G)</w:t>
      </w:r>
      <w:r w:rsidRPr="00910395">
        <w:rPr>
          <w:rFonts w:eastAsia="Times New Roman"/>
        </w:rPr>
        <w:tab/>
        <w:t>A board may require an applicant pursuant to this section to successfully pass an examination only if the board imposes the same examination requirement on other license applicants. A board shall not require an applicant pursuant to this section to receive a higher score on an examination than the score required of other license applicants.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(H)</w:t>
      </w:r>
      <w:r w:rsidRPr="00910395">
        <w:rPr>
          <w:rFonts w:eastAsia="Times New Roman"/>
        </w:rPr>
        <w:tab/>
        <w:t>A board may require an applicant pursuant to this section to pay a licensing fee only if the board imposes a licensing fee on other license applicants. A board shall not impose on an applicant pursuant to this section a licensing fee greater than the licensing fee imposed on other applicants.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(I)</w:t>
      </w:r>
      <w:r w:rsidRPr="00910395">
        <w:rPr>
          <w:rFonts w:eastAsia="Times New Roman"/>
        </w:rPr>
        <w:tab/>
        <w:t>A board shall promulgate regulations necessary for the implementation of this act.”</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10395">
        <w:rPr>
          <w:rFonts w:eastAsia="Times New Roman"/>
        </w:rPr>
        <w:t>SECTION</w:t>
      </w:r>
      <w:r w:rsidRPr="00910395">
        <w:rPr>
          <w:rFonts w:eastAsia="Times New Roman"/>
        </w:rPr>
        <w:tab/>
        <w:t>3.</w:t>
      </w:r>
      <w:r w:rsidRPr="00910395">
        <w:rPr>
          <w:rFonts w:eastAsia="Times New Roman"/>
        </w:rPr>
        <w:tab/>
        <w:t>Section 40-1-140 of the 1976 Code, relating to the effect of prior convictions on license applications for professions and occupations, is repealed.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10395">
        <w:rPr>
          <w:rFonts w:eastAsia="Times New Roman"/>
        </w:rPr>
        <w:t>SECTION</w:t>
      </w:r>
      <w:r w:rsidRPr="00910395">
        <w:rPr>
          <w:rFonts w:eastAsia="Times New Roman"/>
        </w:rPr>
        <w:tab/>
        <w:t>4.</w:t>
      </w:r>
      <w:r w:rsidRPr="00910395">
        <w:rPr>
          <w:rFonts w:eastAsia="Times New Roman"/>
        </w:rPr>
        <w:tab/>
        <w:t>This act takes effect January 1, 2024.</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10395">
        <w:rPr>
          <w:rFonts w:eastAsia="Times New Roman"/>
          <w:snapToGrid w:val="0"/>
          <w:szCs w:val="20"/>
        </w:rPr>
        <w:tab/>
        <w:t>Renumber sections to conform.</w:t>
      </w:r>
    </w:p>
    <w:p w:rsid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10395">
        <w:rPr>
          <w:rFonts w:eastAsia="Times New Roman"/>
          <w:snapToGrid w:val="0"/>
          <w:szCs w:val="20"/>
        </w:rPr>
        <w:tab/>
        <w:t>Amend title to conform.</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053A" w:rsidSect="00DE05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40AB" w:rsidRPr="00522CE0" w:rsidRDefault="000A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4B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A6BC7">
        <w:rPr>
          <w:rFonts w:eastAsia="Times New Roman"/>
        </w:rPr>
        <w: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A44BCC"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6BC7">
        <w:rPr>
          <w:rFonts w:eastAsia="Times New Roman"/>
        </w:rPr>
        <w:t>Article 1, Chapter 1, Title 40 of the 1976 Code is amended by adding:</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40-1-75.</w:t>
      </w:r>
      <w:r>
        <w:rPr>
          <w:rFonts w:eastAsia="Times New Roman"/>
        </w:rPr>
        <w:tab/>
        <w:t>(A)</w:t>
      </w:r>
      <w:r>
        <w:rPr>
          <w:rFonts w:eastAsia="Times New Roman"/>
        </w:rPr>
        <w:tab/>
        <w:t>A regulatory board or commission</w:t>
      </w:r>
      <w:r w:rsidRPr="00250061">
        <w:rPr>
          <w:rFonts w:eastAsia="Times New Roman"/>
        </w:rPr>
        <w:t xml:space="preserve"> </w:t>
      </w:r>
      <w:r>
        <w:rPr>
          <w:rFonts w:eastAsia="Times New Roman"/>
        </w:rPr>
        <w:t xml:space="preserve">may not solely or in part deny a license to an applicant because of a prior </w:t>
      </w:r>
      <w:r>
        <w:rPr>
          <w:rFonts w:eastAsia="Times New Roman"/>
        </w:rPr>
        <w:lastRenderedPageBreak/>
        <w:t>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w:t>
      </w:r>
      <w:r w:rsidR="00D95008">
        <w:rPr>
          <w:rFonts w:eastAsia="Times New Roman"/>
        </w:rPr>
        <w:t>,</w:t>
      </w:r>
      <w:r>
        <w:rPr>
          <w:rFonts w:eastAsia="Times New Roman"/>
        </w:rPr>
        <w:t xml:space="preserve"> and from considering arrests without a subsequent conviction as a justification for denying an applicant a license.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Each regulatory board or commission shall make available to all license applicants a comprehensive list of criminal convictions that are specific and directly related to the duties and responsibilities of the occupation or profession regulated by the board or commission.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In determining whether an applicant with a criminal conviction shall be denied a license, the relevant regulatory board or commission shall apply a clear and convincing standard of proof. The board or commission shall make its determination based upon the following factors:</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the length of time since </w:t>
      </w:r>
      <w:r w:rsidR="00D95008">
        <w:rPr>
          <w:rFonts w:eastAsia="Times New Roman"/>
        </w:rPr>
        <w:t xml:space="preserve">the applicant’s </w:t>
      </w:r>
      <w:r>
        <w:rPr>
          <w:rFonts w:eastAsia="Times New Roman"/>
        </w:rPr>
        <w:t>conviction;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relationship of the crime to the ability, capacity, and fitness required to perform the duties and discharge the responsibilities of the occupation for which </w:t>
      </w:r>
      <w:r w:rsidR="00D95008">
        <w:rPr>
          <w:rFonts w:eastAsia="Times New Roman"/>
        </w:rPr>
        <w:t xml:space="preserve">the applicant </w:t>
      </w:r>
      <w:r>
        <w:rPr>
          <w:rFonts w:eastAsia="Times New Roman"/>
        </w:rPr>
        <w:t>is seeking licensure;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00EC16CB">
        <w:rPr>
          <w:rFonts w:eastAsia="Times New Roman"/>
        </w:rPr>
        <w:t xml:space="preserve">any </w:t>
      </w:r>
      <w:r>
        <w:rPr>
          <w:rFonts w:eastAsia="Times New Roman"/>
        </w:rPr>
        <w:t>evidence of rehabilitation or treatment undertaken by the applicant that may mitigate the relationship referred to in subitem (c).</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If an applicant has a criminal conviction for a crime that could disqualify him from being issued a license, then the disqualification shall not last longer than five years from </w:t>
      </w:r>
      <w:r w:rsidR="00EC16CB">
        <w:rPr>
          <w:rFonts w:eastAsia="Times New Roman"/>
        </w:rPr>
        <w:t xml:space="preserve">his </w:t>
      </w:r>
      <w:r>
        <w:rPr>
          <w:rFonts w:eastAsia="Times New Roman"/>
        </w:rPr>
        <w:t>date of conviction, provided that the conviction is not for a violent crime or criminal sexual conduct and that the applicant has not been convicted of another disqualifying crime during that five-year period.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An applicant with a criminal record may petition a regulatory board or commission for a determination of whether the applicant’s criminal record will disqualify him from being eligible for a license. This petition shall include details concerning the applicant’s criminal record. The regulatory board or commission shall notify the applicant of its determination not later than thirty days after receiving the applicant’s petition. The determination shall be binding unless the applicant has subsequent criminal convictions or failed to disclose relevant information in his petition. The </w:t>
      </w:r>
      <w:r>
        <w:rPr>
          <w:rFonts w:eastAsia="Times New Roman"/>
        </w:rPr>
        <w:lastRenderedPageBreak/>
        <w:t>regulatory board or commission may charge a reasonable fee for filing a petition. The determination shall be made based upon a clear and convincing evidentiary standard.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If a regulatory board or commission denies a permit application solely or in part because of the applicant’s prior conviction of a crime, then the regulatory board or commission must notify the applicant in writing of its decision. The notice shall provide: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grounds for the denial;</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notice that the individual has the right to a hearing to challenge the denial;</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earliest date that the applicant may again apply for licensure;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 statement that evidence of rehabilitation may be considered upon reapplication.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40-1-77.</w:t>
      </w:r>
      <w:r>
        <w:rPr>
          <w:rFonts w:eastAsia="Times New Roman"/>
        </w:rPr>
        <w:tab/>
        <w:t>(A)</w:t>
      </w:r>
      <w:r>
        <w:rPr>
          <w:rFonts w:eastAsia="Times New Roman"/>
        </w:rPr>
        <w:tab/>
        <w:t>For the purposes of this section, ‘apprenticeship’ means a program that meets federal guidelines as provided in 29 C.F.R. Part 29 and 29 U.S.C. Section 50.</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Within the parameters established by the federal Labor Standards for the Registration of Apprenticeship Programs pursuant to 29 C.F.R. Part 29 and 29 U.S.C. Section 50, each regulatory board or commission within the department shall issue a license to an applicant who:</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successfully completed the eighth grade;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completed an apprenticeship approved by the United States Department of Labor or </w:t>
      </w:r>
      <w:r w:rsidR="00552C68">
        <w:rPr>
          <w:rFonts w:eastAsia="Times New Roman"/>
        </w:rPr>
        <w:t xml:space="preserve">as </w:t>
      </w:r>
      <w:r>
        <w:rPr>
          <w:rFonts w:eastAsia="Times New Roman"/>
        </w:rPr>
        <w:t>otherwise permitted pursuant to state or federal law. The apprenticeship may be completed under the supervision of a state-licensed practitioner or at a state-licensed school;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successfully passed an examination by the appropriate regulatory board or commission, if an exam is required by the appropriate regulatory board or commission.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regulatory board or commission requires an examination pursuant to subsection (B)(3), then the board or commission shall establish a passing score for the examination, which shall not exceed any passing scores that are otherwise required for a non-apprenticeship license for that particular occupation or profession.</w:t>
      </w:r>
    </w:p>
    <w:p w:rsidR="00A44BCC" w:rsidRDefault="005A6B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number of working hours required for a competency-based apprenticeship or a hybrid apprenticeship under 29 C.F.R. 29.5 shall not exceed the number of educational hours otherwise required for a non-apprenticeship license for that particular occupation or profession.”</w:t>
      </w:r>
    </w:p>
    <w:p w:rsidR="00A44BCC" w:rsidRPr="00522CE0" w:rsidRDefault="00A44BCC"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5A6BC7">
        <w:rPr>
          <w:rFonts w:eastAsia="Times New Roman"/>
        </w:rPr>
        <w:t>2</w:t>
      </w:r>
      <w:r>
        <w:rPr>
          <w:rFonts w:eastAsia="Times New Roman"/>
        </w:rPr>
        <w:t>.</w:t>
      </w:r>
      <w:r>
        <w:rPr>
          <w:rFonts w:eastAsia="Times New Roman"/>
        </w:rPr>
        <w:tab/>
        <w:t>This act takes effect upon approval by the Governor.</w:t>
      </w:r>
    </w:p>
    <w:p w:rsidR="00E465B1" w:rsidRDefault="008B6992"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520D" w:rsidRDefault="00AC520D" w:rsidP="00AC520D">
      <w:pPr>
        <w:keepNext/>
        <w:keepLines/>
        <w:suppressAutoHyphens/>
        <w:jc w:val="both"/>
        <w:rPr>
          <w:rFonts w:eastAsia="Times New Roman"/>
        </w:rPr>
      </w:pPr>
    </w:p>
    <w:sectPr w:rsidR="00AC520D" w:rsidSect="00DE05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6CB" w:rsidRDefault="00EC16CB" w:rsidP="00522CE0">
      <w:r>
        <w:separator/>
      </w:r>
    </w:p>
  </w:endnote>
  <w:endnote w:type="continuationSeparator" w:id="0">
    <w:p w:rsidR="00EC16CB" w:rsidRDefault="00EC16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6F4A80-B4D7-4535-B73B-125C6822A4D9}"/>
    <w:embedBold r:id="rId2" w:fontKey="{78412734-EB07-4DB2-BDC6-716CD04C1E32}"/>
  </w:font>
  <w:font w:name="Calibri">
    <w:panose1 w:val="020F0502020204030204"/>
    <w:charset w:val="00"/>
    <w:family w:val="swiss"/>
    <w:pitch w:val="variable"/>
    <w:sig w:usb0="E4002EFF" w:usb1="C000247B" w:usb2="00000009" w:usb3="00000000" w:csb0="000001FF" w:csb1="00000000"/>
    <w:embedRegular r:id="rId3" w:fontKey="{8275DEEC-51B8-4DAD-892C-634124E3D7A2}"/>
  </w:font>
  <w:font w:name="Segoe UI">
    <w:panose1 w:val="020B0502040204020203"/>
    <w:charset w:val="00"/>
    <w:family w:val="swiss"/>
    <w:pitch w:val="variable"/>
    <w:sig w:usb0="E4002EFF" w:usb1="C000E47F" w:usb2="00000009" w:usb3="00000000" w:csb0="000001FF" w:csb1="00000000"/>
    <w:embedRegular r:id="rId4" w:fontKey="{CBC210DB-1EFB-4B11-9E0F-89D9A53E2EE3}"/>
  </w:font>
  <w:font w:name="Cambria">
    <w:panose1 w:val="02040503050406030204"/>
    <w:charset w:val="00"/>
    <w:family w:val="roman"/>
    <w:pitch w:val="variable"/>
    <w:sig w:usb0="E00006FF" w:usb1="420024FF" w:usb2="02000000" w:usb3="00000000" w:csb0="0000019F" w:csb1="00000000"/>
    <w:embedRegular r:id="rId5" w:fontKey="{AD4146F3-E453-48E9-A5BE-979A8A5340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5B1" w:rsidRPr="000A40AB" w:rsidRDefault="000A40AB" w:rsidP="000A40AB">
    <w:pPr>
      <w:pStyle w:val="Footer"/>
      <w:tabs>
        <w:tab w:val="clear" w:pos="4680"/>
        <w:tab w:val="clear" w:pos="9360"/>
        <w:tab w:val="center" w:pos="2995"/>
      </w:tabs>
      <w:spacing w:before="120"/>
    </w:pPr>
    <w:r>
      <w:t>[295</w:t>
    </w:r>
    <w:r w:rsidR="00DE053A">
      <w:t>-</w:t>
    </w:r>
    <w:r w:rsidR="00DE053A">
      <w:fldChar w:fldCharType="begin"/>
    </w:r>
    <w:r w:rsidR="00DE053A">
      <w:instrText xml:space="preserve"> PAGE  \* MERGEFORMAT </w:instrText>
    </w:r>
    <w:r w:rsidR="00DE053A">
      <w:fldChar w:fldCharType="separate"/>
    </w:r>
    <w:r w:rsidR="00AC520D">
      <w:rPr>
        <w:noProof/>
      </w:rPr>
      <w:t>4</w:t>
    </w:r>
    <w:r w:rsidR="00DE053A">
      <w:fldChar w:fldCharType="end"/>
    </w:r>
    <w:r w:rsidR="00DE05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3A" w:rsidRPr="000A40AB" w:rsidRDefault="00DE053A" w:rsidP="000A40AB">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sidR="00AC52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6CB" w:rsidRDefault="00EC16CB" w:rsidP="00522CE0">
      <w:r>
        <w:separator/>
      </w:r>
    </w:p>
  </w:footnote>
  <w:footnote w:type="continuationSeparator" w:id="0">
    <w:p w:rsidR="00EC16CB" w:rsidRDefault="00EC16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OF.SP.WC"/>
    <w:docVar w:name="CoverAttorneyInitials" w:val="SP"/>
    <w:docVar w:name="CoverAttorneyLastName" w:val="Parrish"/>
    <w:docVar w:name="CoverBillType" w:val="b"/>
    <w:docVar w:name="CoverSenator" w:val="WC"/>
    <w:docVar w:name="dvBillNumber" w:val="295"/>
    <w:docVar w:name="dvBillNumberPrefix" w:val="S. "/>
    <w:docVar w:name="dvOriginalBody" w:val="Senate"/>
    <w:docVar w:name="fulldraftpath" w:val="L:\S-RES\WC\007PROF.SP.WC.DOCX"/>
    <w:docVar w:name="NameofBody" w:val="S"/>
    <w:docVar w:name="vgroup2" w:val="S-RES"/>
  </w:docVars>
  <w:rsids>
    <w:rsidRoot w:val="00A44BCC"/>
    <w:rsid w:val="00042AC1"/>
    <w:rsid w:val="00046516"/>
    <w:rsid w:val="00072458"/>
    <w:rsid w:val="0007601D"/>
    <w:rsid w:val="000A40AB"/>
    <w:rsid w:val="000B0720"/>
    <w:rsid w:val="000B5EAF"/>
    <w:rsid w:val="00127830"/>
    <w:rsid w:val="001315B2"/>
    <w:rsid w:val="0015037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37AD5"/>
    <w:rsid w:val="0044020F"/>
    <w:rsid w:val="00450668"/>
    <w:rsid w:val="00454138"/>
    <w:rsid w:val="004813A2"/>
    <w:rsid w:val="004952FA"/>
    <w:rsid w:val="004B6A22"/>
    <w:rsid w:val="004D7F37"/>
    <w:rsid w:val="00522CE0"/>
    <w:rsid w:val="00541951"/>
    <w:rsid w:val="00552C68"/>
    <w:rsid w:val="00565148"/>
    <w:rsid w:val="00570403"/>
    <w:rsid w:val="00577450"/>
    <w:rsid w:val="00577994"/>
    <w:rsid w:val="00593361"/>
    <w:rsid w:val="005A413B"/>
    <w:rsid w:val="005A5017"/>
    <w:rsid w:val="005A648C"/>
    <w:rsid w:val="005A6BC7"/>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B6992"/>
    <w:rsid w:val="008C3697"/>
    <w:rsid w:val="008E185F"/>
    <w:rsid w:val="008F023B"/>
    <w:rsid w:val="00904E16"/>
    <w:rsid w:val="009162B3"/>
    <w:rsid w:val="00927C62"/>
    <w:rsid w:val="00983951"/>
    <w:rsid w:val="00984124"/>
    <w:rsid w:val="00984640"/>
    <w:rsid w:val="00995C37"/>
    <w:rsid w:val="009C118A"/>
    <w:rsid w:val="00A02011"/>
    <w:rsid w:val="00A4011E"/>
    <w:rsid w:val="00A44BCC"/>
    <w:rsid w:val="00A86015"/>
    <w:rsid w:val="00A9594E"/>
    <w:rsid w:val="00AC520D"/>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76D9"/>
    <w:rsid w:val="00CF2C98"/>
    <w:rsid w:val="00D02680"/>
    <w:rsid w:val="00D1088B"/>
    <w:rsid w:val="00D1286F"/>
    <w:rsid w:val="00D14DE6"/>
    <w:rsid w:val="00D156D2"/>
    <w:rsid w:val="00D35486"/>
    <w:rsid w:val="00D53E29"/>
    <w:rsid w:val="00D86943"/>
    <w:rsid w:val="00D95008"/>
    <w:rsid w:val="00DA3C6B"/>
    <w:rsid w:val="00DA47B9"/>
    <w:rsid w:val="00DE053A"/>
    <w:rsid w:val="00DE5635"/>
    <w:rsid w:val="00E058D3"/>
    <w:rsid w:val="00E12CA0"/>
    <w:rsid w:val="00E2236D"/>
    <w:rsid w:val="00E465B1"/>
    <w:rsid w:val="00E76AD9"/>
    <w:rsid w:val="00E86EE2"/>
    <w:rsid w:val="00E91E2F"/>
    <w:rsid w:val="00EA3546"/>
    <w:rsid w:val="00EB47AE"/>
    <w:rsid w:val="00EC16CB"/>
    <w:rsid w:val="00EC34E1"/>
    <w:rsid w:val="00F0234A"/>
    <w:rsid w:val="00F05CF2"/>
    <w:rsid w:val="00F51241"/>
    <w:rsid w:val="00F52959"/>
    <w:rsid w:val="00F55884"/>
    <w:rsid w:val="00F8061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9F87FA9-E744-455E-9D0C-0B934AD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7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1978</Words>
  <Characters>10680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295 Text of Previous Version (Mar. 15, 2022) - South Carolina Legislature Online</dc:title>
  <dc:subject/>
  <dc:creator>Sara Parrish</dc:creator>
  <cp:keywords/>
  <dc:description/>
  <cp:lastModifiedBy>Miriam Cook</cp:lastModifiedBy>
  <cp:revision>2</cp:revision>
  <dcterms:created xsi:type="dcterms:W3CDTF">2022-03-15T23:28:00Z</dcterms:created>
  <dcterms:modified xsi:type="dcterms:W3CDTF">2022-03-15T23:28:00Z</dcterms:modified>
</cp:coreProperties>
</file>