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369"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0783" w:rsidRP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BD3" w:rsidRDefault="00DD1BD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r w:rsidR="00186EDA">
        <w:t xml:space="preserve"> </w:t>
      </w:r>
    </w:p>
    <w:p w:rsidR="00570783" w:rsidRDefault="00DD1BD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w:t>
      </w:r>
      <w:r w:rsidR="00570783">
        <w:t>, 2021</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83" w:rsidRPr="00570783" w:rsidRDefault="00570783" w:rsidP="00570783">
      <w:pPr>
        <w:tabs>
          <w:tab w:val="right" w:pos="5933"/>
        </w:tabs>
        <w:suppressAutoHyphens/>
      </w:pPr>
      <w:r>
        <w:tab/>
      </w:r>
      <w:r>
        <w:rPr>
          <w:b/>
          <w:sz w:val="36"/>
        </w:rPr>
        <w:t>H. 3017</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Davis, Atkinson, B. Newton, Magnuson, Fry, Daning, Felder, May, Long, Pope, Forrest, Oremus, M.M. Smith, Yow, McGinnis, Govan, Brawley, Willis, Henderson</w:t>
      </w:r>
      <w:r>
        <w:noBreakHyphen/>
        <w:t>Myers, Jones and McDaniel</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83" w:rsidRDefault="00DD1BD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w:t>
      </w:r>
      <w:r w:rsidR="00570783">
        <w:t>/21--S.</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2021.</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5369" w:rsidSect="008953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72BF" w:rsidRDefault="005C72BF"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41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2285">
        <w:rPr>
          <w:color w:val="000000" w:themeColor="text1"/>
          <w:u w:color="000000" w:themeColor="text1"/>
        </w:rPr>
        <w:t>TO AMEND SECTION 59</w:t>
      </w:r>
      <w:r>
        <w:rPr>
          <w:color w:val="000000" w:themeColor="text1"/>
          <w:u w:color="000000" w:themeColor="text1"/>
        </w:rPr>
        <w:noBreakHyphen/>
      </w:r>
      <w:r w:rsidRPr="00872285">
        <w:rPr>
          <w:color w:val="000000" w:themeColor="text1"/>
          <w:u w:color="000000" w:themeColor="text1"/>
        </w:rPr>
        <w:t>104</w:t>
      </w:r>
      <w:r>
        <w:rPr>
          <w:color w:val="000000" w:themeColor="text1"/>
          <w:u w:color="000000" w:themeColor="text1"/>
        </w:rPr>
        <w:noBreakHyphen/>
      </w:r>
      <w:r w:rsidRPr="00872285">
        <w:rPr>
          <w:color w:val="000000" w:themeColor="text1"/>
          <w:u w:color="000000" w:themeColor="text1"/>
        </w:rPr>
        <w:t>20, CODE OF LAWS OF SOUTH CAROLINA, 1976, RELATING TO ELIGIBILITY FOR PALMETTO FELLOWS SCHOLARSHIPS, SO AS TO INCLUDE TWO</w:t>
      </w:r>
      <w:r>
        <w:rPr>
          <w:color w:val="000000" w:themeColor="text1"/>
          <w:u w:color="000000" w:themeColor="text1"/>
        </w:rPr>
        <w:noBreakHyphen/>
      </w:r>
      <w:r w:rsidRPr="00872285">
        <w:rPr>
          <w:color w:val="000000" w:themeColor="text1"/>
          <w:u w:color="000000" w:themeColor="text1"/>
        </w:rPr>
        <w:t>YEAR INSTITUTIONS OF HIGHER LEARNING AND TECHNICAL COLLEGES AMONG INSTITUTIONS OF HIGHER LEARNING WHOSE STUDENTS MAY BE ELIGIBLE FOR THE SCHOLARSHIPS.</w:t>
      </w:r>
      <w:bookmarkEnd w:id="1"/>
    </w:p>
    <w:p w:rsidR="0010776B" w:rsidRDefault="00DD2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D23EA" w:rsidRDefault="00DD2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1C0" w:rsidRDefault="00AD4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1C0" w:rsidRDefault="00AD4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Pr="00872285" w:rsidRDefault="00AD41C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B3400" w:rsidRPr="00872285">
        <w:rPr>
          <w:color w:val="000000" w:themeColor="text1"/>
          <w:u w:color="000000" w:themeColor="text1"/>
        </w:rPr>
        <w:t>Section 59</w:t>
      </w:r>
      <w:r w:rsidR="005B3400">
        <w:rPr>
          <w:color w:val="000000" w:themeColor="text1"/>
          <w:u w:color="000000" w:themeColor="text1"/>
        </w:rPr>
        <w:noBreakHyphen/>
      </w:r>
      <w:r w:rsidR="005B3400" w:rsidRPr="00872285">
        <w:rPr>
          <w:color w:val="000000" w:themeColor="text1"/>
          <w:u w:color="000000" w:themeColor="text1"/>
        </w:rPr>
        <w:t>104</w:t>
      </w:r>
      <w:r w:rsidR="005B3400">
        <w:rPr>
          <w:color w:val="000000" w:themeColor="text1"/>
          <w:u w:color="000000" w:themeColor="text1"/>
        </w:rPr>
        <w:noBreakHyphen/>
      </w:r>
      <w:r w:rsidR="005B3400" w:rsidRPr="00872285">
        <w:rPr>
          <w:color w:val="000000" w:themeColor="text1"/>
          <w:u w:color="000000" w:themeColor="text1"/>
        </w:rPr>
        <w:t>20</w:t>
      </w:r>
      <w:r w:rsidR="005B3400">
        <w:rPr>
          <w:color w:val="000000" w:themeColor="text1"/>
          <w:u w:color="000000" w:themeColor="text1"/>
        </w:rPr>
        <w:t>(E), (F), and (H)</w:t>
      </w:r>
      <w:r w:rsidR="005B3400" w:rsidRPr="00872285">
        <w:rPr>
          <w:color w:val="000000" w:themeColor="text1"/>
          <w:u w:color="000000" w:themeColor="text1"/>
        </w:rPr>
        <w:t xml:space="preserve"> of the 1976 Code is amended to read:</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(E)</w:t>
      </w:r>
      <w:r>
        <w:rPr>
          <w:color w:val="000000" w:themeColor="text1"/>
          <w:u w:color="000000" w:themeColor="text1"/>
        </w:rPr>
        <w:tab/>
      </w:r>
      <w:r w:rsidRPr="00872285">
        <w:rPr>
          <w:color w:val="000000" w:themeColor="text1"/>
          <w:u w:color="000000" w:themeColor="text1"/>
        </w:rPr>
        <w:t xml:space="preserve">A Palmetto Fellows Scholarship is available to an eligible resident student who attends or will attend an eligible </w:t>
      </w:r>
      <w:r w:rsidRPr="003A6BA0">
        <w:rPr>
          <w:strike/>
          <w:color w:val="000000" w:themeColor="text1"/>
          <w:u w:color="000000" w:themeColor="text1"/>
        </w:rPr>
        <w:t>four</w:t>
      </w:r>
      <w:r>
        <w:rPr>
          <w:strike/>
          <w:color w:val="000000" w:themeColor="text1"/>
          <w:u w:color="000000" w:themeColor="text1"/>
        </w:rPr>
        <w:noBreakHyphen/>
      </w:r>
      <w:r w:rsidRPr="003A6BA0">
        <w:rPr>
          <w:strike/>
          <w:color w:val="000000" w:themeColor="text1"/>
          <w:u w:color="000000" w:themeColor="text1"/>
        </w:rPr>
        <w:t>year</w:t>
      </w:r>
      <w:r w:rsidRPr="00872285">
        <w:rPr>
          <w:color w:val="000000" w:themeColor="text1"/>
          <w:u w:color="000000" w:themeColor="text1"/>
        </w:rPr>
        <w:t xml:space="preserve"> public or independent institution.</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72285">
        <w:rPr>
          <w:color w:val="000000" w:themeColor="text1"/>
          <w:u w:color="000000" w:themeColor="text1"/>
        </w:rPr>
        <w:t>For purposes of subsection (E):</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(1)</w:t>
      </w:r>
      <w:r>
        <w:rPr>
          <w:color w:val="000000" w:themeColor="text1"/>
          <w:u w:color="000000" w:themeColor="text1"/>
        </w:rPr>
        <w:tab/>
      </w:r>
      <w:r w:rsidRPr="005B3400">
        <w:rPr>
          <w:color w:val="000000" w:themeColor="text1"/>
          <w:u w:color="000000" w:themeColor="text1"/>
        </w:rPr>
        <w:t>‘</w:t>
      </w:r>
      <w:r>
        <w:rPr>
          <w:color w:val="000000" w:themeColor="text1"/>
          <w:u w:color="000000" w:themeColor="text1"/>
        </w:rPr>
        <w:t>P</w:t>
      </w:r>
      <w:r w:rsidRPr="00837BFE">
        <w:rPr>
          <w:color w:val="000000" w:themeColor="text1"/>
          <w:u w:color="000000" w:themeColor="text1"/>
        </w:rPr>
        <w:t>ublic or independent</w:t>
      </w:r>
      <w:r>
        <w:rPr>
          <w:color w:val="000000" w:themeColor="text1"/>
          <w:u w:color="000000" w:themeColor="text1"/>
        </w:rPr>
        <w:t xml:space="preserve"> Institution</w:t>
      </w:r>
      <w:r w:rsidRPr="005B3400">
        <w:rPr>
          <w:color w:val="000000" w:themeColor="text1"/>
          <w:u w:color="000000" w:themeColor="text1"/>
        </w:rPr>
        <w:t>’</w:t>
      </w:r>
      <w:r w:rsidRPr="00872285">
        <w:rPr>
          <w:color w:val="000000" w:themeColor="text1"/>
          <w:u w:color="000000" w:themeColor="text1"/>
        </w:rPr>
        <w:t xml:space="preserve"> means 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872285">
        <w:rPr>
          <w:color w:val="000000" w:themeColor="text1"/>
          <w:u w:color="000000" w:themeColor="text1"/>
        </w:rPr>
        <w:t>South Carolina public institution defined in Section 59</w:t>
      </w:r>
      <w:r>
        <w:rPr>
          <w:color w:val="000000" w:themeColor="text1"/>
          <w:u w:color="000000" w:themeColor="text1"/>
        </w:rPr>
        <w:noBreakHyphen/>
      </w:r>
      <w:r w:rsidRPr="00872285">
        <w:rPr>
          <w:color w:val="000000" w:themeColor="text1"/>
          <w:u w:color="000000" w:themeColor="text1"/>
        </w:rPr>
        <w:t>103</w:t>
      </w:r>
      <w:r>
        <w:rPr>
          <w:color w:val="000000" w:themeColor="text1"/>
          <w:u w:color="000000" w:themeColor="text1"/>
        </w:rPr>
        <w:noBreakHyphen/>
      </w:r>
      <w:r w:rsidRPr="00872285">
        <w:rPr>
          <w:color w:val="000000" w:themeColor="text1"/>
          <w:u w:color="000000" w:themeColor="text1"/>
        </w:rPr>
        <w:t xml:space="preserve">5, </w:t>
      </w:r>
      <w:r w:rsidRPr="00837BFE">
        <w:rPr>
          <w:strike/>
          <w:color w:val="000000" w:themeColor="text1"/>
          <w:u w:color="000000" w:themeColor="text1"/>
        </w:rPr>
        <w:t>excluding a public two</w:t>
      </w:r>
      <w:r>
        <w:rPr>
          <w:strike/>
          <w:color w:val="000000" w:themeColor="text1"/>
          <w:u w:color="000000" w:themeColor="text1"/>
        </w:rPr>
        <w:noBreakHyphen/>
      </w:r>
      <w:r w:rsidRPr="00837BFE">
        <w:rPr>
          <w:strike/>
          <w:color w:val="000000" w:themeColor="text1"/>
          <w:u w:color="000000" w:themeColor="text1"/>
        </w:rPr>
        <w:t>year or technical institution</w:t>
      </w:r>
      <w:r w:rsidRPr="001058DB">
        <w:rPr>
          <w:strike/>
          <w:color w:val="000000" w:themeColor="text1"/>
          <w:u w:color="000000" w:themeColor="text1"/>
        </w:rPr>
        <w:t>,</w:t>
      </w:r>
      <w:r w:rsidRPr="00872285">
        <w:rPr>
          <w:color w:val="000000" w:themeColor="text1"/>
          <w:u w:color="000000" w:themeColor="text1"/>
        </w:rPr>
        <w:t xml:space="preserve"> and an independent institution as defined in Section 59</w:t>
      </w:r>
      <w:r>
        <w:rPr>
          <w:color w:val="000000" w:themeColor="text1"/>
          <w:u w:color="000000" w:themeColor="text1"/>
        </w:rPr>
        <w:noBreakHyphen/>
      </w:r>
      <w:r w:rsidRPr="00872285">
        <w:rPr>
          <w:color w:val="000000" w:themeColor="text1"/>
          <w:u w:color="000000" w:themeColor="text1"/>
        </w:rPr>
        <w:t>113</w:t>
      </w:r>
      <w:r>
        <w:rPr>
          <w:color w:val="000000" w:themeColor="text1"/>
          <w:u w:color="000000" w:themeColor="text1"/>
        </w:rPr>
        <w:noBreakHyphen/>
      </w:r>
      <w:r w:rsidRPr="00872285">
        <w:rPr>
          <w:color w:val="000000" w:themeColor="text1"/>
          <w:u w:color="000000" w:themeColor="text1"/>
        </w:rPr>
        <w:t>50</w:t>
      </w:r>
      <w:r w:rsidRPr="001058DB">
        <w:rPr>
          <w:strike/>
          <w:color w:val="000000" w:themeColor="text1"/>
          <w:u w:color="000000" w:themeColor="text1"/>
        </w:rPr>
        <w:t>,</w:t>
      </w:r>
      <w:r w:rsidRPr="00872285">
        <w:rPr>
          <w:color w:val="000000" w:themeColor="text1"/>
          <w:u w:color="000000" w:themeColor="text1"/>
        </w:rPr>
        <w:t xml:space="preserve"> </w:t>
      </w:r>
      <w:r w:rsidRPr="003A6BA0">
        <w:rPr>
          <w:strike/>
          <w:color w:val="000000" w:themeColor="text1"/>
          <w:u w:color="000000" w:themeColor="text1"/>
        </w:rPr>
        <w:t>excluding</w:t>
      </w:r>
      <w:r w:rsidRPr="00837BFE">
        <w:rPr>
          <w:strike/>
          <w:color w:val="000000" w:themeColor="text1"/>
          <w:u w:color="000000" w:themeColor="text1"/>
        </w:rPr>
        <w:t xml:space="preserve"> an eleemosynary junior or independent two</w:t>
      </w:r>
      <w:r>
        <w:rPr>
          <w:strike/>
          <w:color w:val="000000" w:themeColor="text1"/>
          <w:u w:color="000000" w:themeColor="text1"/>
        </w:rPr>
        <w:noBreakHyphen/>
      </w:r>
      <w:r w:rsidRPr="00837BFE">
        <w:rPr>
          <w:strike/>
          <w:color w:val="000000" w:themeColor="text1"/>
          <w:u w:color="000000" w:themeColor="text1"/>
        </w:rPr>
        <w:t>year institution</w:t>
      </w:r>
      <w:r w:rsidRPr="00872285">
        <w:rPr>
          <w:color w:val="000000" w:themeColor="text1"/>
          <w:u w:color="000000" w:themeColor="text1"/>
        </w:rPr>
        <w:t>; or</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72285">
        <w:rPr>
          <w:color w:val="000000" w:themeColor="text1"/>
          <w:u w:color="000000" w:themeColor="text1"/>
        </w:rPr>
        <w:t>public or independent bachelor</w:t>
      </w:r>
      <w:r w:rsidRPr="005B3400">
        <w:rPr>
          <w:color w:val="000000" w:themeColor="text1"/>
          <w:u w:color="000000" w:themeColor="text1"/>
        </w:rPr>
        <w:t>’</w:t>
      </w:r>
      <w:r w:rsidRPr="00872285">
        <w:rPr>
          <w:color w:val="000000" w:themeColor="text1"/>
          <w:u w:color="000000" w:themeColor="text1"/>
        </w:rPr>
        <w:t>s level institution chartered before 1962 whose major campus and headquarters are located within South Carolina.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(2)</w:t>
      </w:r>
      <w:r>
        <w:rPr>
          <w:color w:val="000000" w:themeColor="text1"/>
          <w:u w:color="000000" w:themeColor="text1"/>
        </w:rPr>
        <w:tab/>
      </w:r>
      <w:r w:rsidRPr="005B3400">
        <w:rPr>
          <w:color w:val="000000" w:themeColor="text1"/>
          <w:u w:color="000000" w:themeColor="text1"/>
        </w:rPr>
        <w:t>‘</w:t>
      </w:r>
      <w:r>
        <w:rPr>
          <w:color w:val="000000" w:themeColor="text1"/>
          <w:u w:color="000000" w:themeColor="text1"/>
        </w:rPr>
        <w:t>Resident student</w:t>
      </w:r>
      <w:r w:rsidRPr="005B3400">
        <w:rPr>
          <w:color w:val="000000" w:themeColor="text1"/>
          <w:u w:color="000000" w:themeColor="text1"/>
        </w:rPr>
        <w:t>’</w:t>
      </w:r>
      <w:r w:rsidRPr="00872285">
        <w:rPr>
          <w:color w:val="000000" w:themeColor="text1"/>
          <w:u w:color="000000" w:themeColor="text1"/>
        </w:rPr>
        <w:t xml:space="preserve"> means 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(a)</w:t>
      </w:r>
      <w:r>
        <w:rPr>
          <w:color w:val="000000" w:themeColor="text1"/>
          <w:u w:color="000000" w:themeColor="text1"/>
        </w:rPr>
        <w:tab/>
      </w:r>
      <w:r w:rsidRPr="00872285">
        <w:rPr>
          <w:color w:val="000000" w:themeColor="text1"/>
          <w:u w:color="000000" w:themeColor="text1"/>
        </w:rPr>
        <w:t xml:space="preserve">student who is either a member of a class graduating from a high school located in this State, a home school student who has successfully completed a high school home school program in </w:t>
      </w:r>
      <w:r w:rsidRPr="00872285">
        <w:rPr>
          <w:color w:val="000000" w:themeColor="text1"/>
          <w:u w:color="000000" w:themeColor="text1"/>
        </w:rPr>
        <w:lastRenderedPageBreak/>
        <w:t>this State in the manner required by law, or a student graduating from a preparatory high school outside this State, while a dependent of a parent or guardian who is a legal resident of this State and has custody of the dependent; and</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(b)</w:t>
      </w:r>
      <w:r>
        <w:rPr>
          <w:color w:val="000000" w:themeColor="text1"/>
          <w:u w:color="000000" w:themeColor="text1"/>
        </w:rPr>
        <w:tab/>
      </w:r>
      <w:r w:rsidRPr="00872285">
        <w:rPr>
          <w:color w:val="000000" w:themeColor="text1"/>
          <w:u w:color="000000" w:themeColor="text1"/>
        </w:rPr>
        <w:t>student classified as a resident of South Carolina for in</w:t>
      </w:r>
      <w:r>
        <w:rPr>
          <w:color w:val="000000" w:themeColor="text1"/>
          <w:u w:color="000000" w:themeColor="text1"/>
        </w:rPr>
        <w:noBreakHyphen/>
      </w:r>
      <w:r w:rsidRPr="00872285">
        <w:rPr>
          <w:color w:val="000000" w:themeColor="text1"/>
          <w:u w:color="000000" w:themeColor="text1"/>
        </w:rPr>
        <w:t>state tuition purposes under Chapter 112 of this title at the time of enrollment at the institution.</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(H)</w:t>
      </w:r>
      <w:r>
        <w:rPr>
          <w:color w:val="000000" w:themeColor="text1"/>
          <w:u w:color="000000" w:themeColor="text1"/>
        </w:rPr>
        <w:tab/>
      </w:r>
      <w:r w:rsidRPr="00872285">
        <w:rPr>
          <w:color w:val="000000" w:themeColor="text1"/>
          <w:u w:color="000000" w:themeColor="text1"/>
        </w:rPr>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Pr>
          <w:color w:val="000000" w:themeColor="text1"/>
          <w:u w:color="000000" w:themeColor="text1"/>
        </w:rPr>
        <w:noBreakHyphen/>
      </w:r>
      <w:r w:rsidRPr="00872285">
        <w:rPr>
          <w:color w:val="000000" w:themeColor="text1"/>
          <w:u w:color="000000" w:themeColor="text1"/>
        </w:rPr>
        <w:t>of</w:t>
      </w:r>
      <w:r>
        <w:rPr>
          <w:color w:val="000000" w:themeColor="text1"/>
          <w:u w:color="000000" w:themeColor="text1"/>
        </w:rPr>
        <w:noBreakHyphen/>
      </w:r>
      <w:r w:rsidRPr="00872285">
        <w:rPr>
          <w:color w:val="000000" w:themeColor="text1"/>
          <w:u w:color="000000" w:themeColor="text1"/>
        </w:rPr>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r>
        <w:rPr>
          <w:color w:val="000000" w:themeColor="text1"/>
          <w:u w:color="000000" w:themeColor="text1"/>
        </w:rPr>
        <w:t xml:space="preserve"> </w:t>
      </w:r>
      <w:r>
        <w:rPr>
          <w:color w:val="000000" w:themeColor="text1"/>
          <w:u w:val="single" w:color="000000" w:themeColor="text1"/>
        </w:rPr>
        <w:t>A student who uses a Palmetto Fellows Scholarship to attend an eligible two</w:t>
      </w:r>
      <w:r>
        <w:rPr>
          <w:color w:val="000000" w:themeColor="text1"/>
          <w:u w:val="single" w:color="000000" w:themeColor="text1"/>
        </w:rPr>
        <w:noBreakHyphen/>
        <w:t>year institution shall receive a maximum of four continuous semesters, and may continue to use the scholarship to attend an eligible four</w:t>
      </w:r>
      <w:r>
        <w:rPr>
          <w:color w:val="000000" w:themeColor="text1"/>
          <w:u w:val="single" w:color="000000" w:themeColor="text1"/>
        </w:rPr>
        <w:noBreakHyphen/>
        <w:t>year institution, subject to maximum number of semesters for which the student may be eligible for the scholarship.</w:t>
      </w:r>
      <w:r>
        <w:rPr>
          <w:color w:val="000000" w:themeColor="text1"/>
          <w:u w:color="000000" w:themeColor="text1"/>
        </w:rPr>
        <w:t>”</w:t>
      </w:r>
    </w:p>
    <w:p w:rsidR="00DD1BD3" w:rsidRDefault="00DD1BD3" w:rsidP="00DD1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highlight w:val="yellow"/>
        </w:rPr>
      </w:pPr>
    </w:p>
    <w:p w:rsidR="00DD1BD3" w:rsidRPr="00DD23EA" w:rsidRDefault="00DD1BD3" w:rsidP="00DD1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D23EA">
        <w:rPr>
          <w:snapToGrid w:val="0"/>
        </w:rPr>
        <w:t>SECTION</w:t>
      </w:r>
      <w:r w:rsidRPr="00DD23EA">
        <w:rPr>
          <w:snapToGrid w:val="0"/>
        </w:rPr>
        <w:tab/>
        <w:t>2.</w:t>
      </w:r>
      <w:r w:rsidRPr="00DD23EA">
        <w:rPr>
          <w:snapToGrid w:val="0"/>
        </w:rPr>
        <w:tab/>
        <w:t>Section 59</w:t>
      </w:r>
      <w:r w:rsidRPr="00DD23EA">
        <w:rPr>
          <w:snapToGrid w:val="0"/>
        </w:rPr>
        <w:noBreakHyphen/>
        <w:t>149</w:t>
      </w:r>
      <w:r w:rsidRPr="00DD23EA">
        <w:rPr>
          <w:snapToGrid w:val="0"/>
        </w:rPr>
        <w:noBreakHyphen/>
        <w:t>60 of the 1976 Code is amended to read:</w:t>
      </w:r>
    </w:p>
    <w:p w:rsidR="00DD1BD3" w:rsidRPr="00DD23EA" w:rsidRDefault="00DD1BD3" w:rsidP="00DD1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B3400" w:rsidRDefault="00DD1BD3" w:rsidP="00DD1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DD23EA">
        <w:rPr>
          <w:snapToGrid w:val="0"/>
        </w:rPr>
        <w:tab/>
        <w:t>“Section 59</w:t>
      </w:r>
      <w:r w:rsidRPr="00DD23EA">
        <w:rPr>
          <w:snapToGrid w:val="0"/>
        </w:rPr>
        <w:noBreakHyphen/>
        <w:t>149</w:t>
      </w:r>
      <w:r w:rsidRPr="00DD23EA">
        <w:rPr>
          <w:snapToGrid w:val="0"/>
        </w:rPr>
        <w:noBreakHyphen/>
        <w:t>60.</w:t>
      </w:r>
      <w:r w:rsidRPr="00DD23EA">
        <w:rPr>
          <w:snapToGrid w:val="0"/>
        </w:rPr>
        <w:tab/>
        <w:t>The student may receive a LIFE Scholarship for not more than ten semesters for a five</w:t>
      </w:r>
      <w:r w:rsidRPr="00DD23EA">
        <w:rPr>
          <w:snapToGrid w:val="0"/>
        </w:rPr>
        <w:noBreakHyphen/>
        <w:t>year degree program, eight semesters for a four</w:t>
      </w:r>
      <w:r w:rsidRPr="00DD23EA">
        <w:rPr>
          <w:snapToGrid w:val="0"/>
        </w:rPr>
        <w:noBreakHyphen/>
        <w:t xml:space="preserve">year degree program, </w:t>
      </w:r>
      <w:r w:rsidRPr="00DD23EA">
        <w:rPr>
          <w:strike/>
          <w:lang w:val="en-PH"/>
        </w:rPr>
        <w:t>or</w:t>
      </w:r>
      <w:r w:rsidRPr="00DD23EA">
        <w:rPr>
          <w:lang w:val="en-PH"/>
        </w:rPr>
        <w:t xml:space="preserve"> four semesters for a two</w:t>
      </w:r>
      <w:r w:rsidRPr="00DD23EA">
        <w:rPr>
          <w:lang w:val="en-PH"/>
        </w:rPr>
        <w:noBreakHyphen/>
        <w:t>year degree program</w:t>
      </w:r>
      <w:r w:rsidRPr="00DD23EA">
        <w:rPr>
          <w:u w:val="single"/>
          <w:lang w:val="en-PH"/>
        </w:rPr>
        <w:t>, or six semesters for a three</w:t>
      </w:r>
      <w:r w:rsidRPr="00DD23EA">
        <w:rPr>
          <w:u w:val="single"/>
          <w:lang w:val="en-PH"/>
        </w:rPr>
        <w:noBreakHyphen/>
        <w:t>year degree program</w:t>
      </w:r>
      <w:r w:rsidRPr="00DD23EA">
        <w:rPr>
          <w:lang w:val="en-PH"/>
        </w:rPr>
        <w:t>.”</w:t>
      </w:r>
    </w:p>
    <w:p w:rsidR="00DD1BD3" w:rsidRDefault="00DD1BD3" w:rsidP="00DD1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Default="00DD1BD3"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B3400">
        <w:t>.</w:t>
      </w:r>
      <w:r w:rsidR="005B3400">
        <w:tab/>
        <w:t>This act takes effect upon approval by the Governor.</w:t>
      </w:r>
    </w:p>
    <w:p w:rsidR="00824E70" w:rsidRDefault="005B34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817" w:rsidRDefault="005B5817" w:rsidP="005B5817">
      <w:pPr>
        <w:suppressAutoHyphens/>
      </w:pPr>
    </w:p>
    <w:sectPr w:rsidR="005B5817" w:rsidSect="008953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1C0" w:rsidRDefault="00AD41C0" w:rsidP="009F0C77">
      <w:r>
        <w:separator/>
      </w:r>
    </w:p>
  </w:endnote>
  <w:endnote w:type="continuationSeparator" w:id="0">
    <w:p w:rsidR="00AD41C0" w:rsidRDefault="00AD41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B0C488-53F1-4607-8EF7-3C4B045A4705}"/>
    <w:embedBold r:id="rId2" w:fontKey="{1B9B4A94-19BC-4594-97BB-3A975E8028F4}"/>
  </w:font>
  <w:font w:name="Calibri">
    <w:panose1 w:val="020F0502020204030204"/>
    <w:charset w:val="00"/>
    <w:family w:val="swiss"/>
    <w:pitch w:val="variable"/>
    <w:sig w:usb0="E0002EFF" w:usb1="C000247B" w:usb2="00000009" w:usb3="00000000" w:csb0="000001FF" w:csb1="00000000"/>
    <w:embedRegular r:id="rId3" w:fontKey="{4571EE11-F367-458A-B830-A558E1525ECE}"/>
  </w:font>
  <w:font w:name="Segoe UI">
    <w:panose1 w:val="020B0502040204020203"/>
    <w:charset w:val="00"/>
    <w:family w:val="swiss"/>
    <w:pitch w:val="variable"/>
    <w:sig w:usb0="E4002EFF" w:usb1="C000E47F" w:usb2="00000009" w:usb3="00000000" w:csb0="000001FF" w:csb1="00000000"/>
    <w:embedRegular r:id="rId4" w:fontKey="{BA4954B7-CAB2-4AD1-ADCF-35ADE817A27A}"/>
  </w:font>
  <w:font w:name="Cambria">
    <w:panose1 w:val="02040503050406030204"/>
    <w:charset w:val="00"/>
    <w:family w:val="roman"/>
    <w:pitch w:val="variable"/>
    <w:sig w:usb0="E00006FF" w:usb1="420024FF" w:usb2="02000000" w:usb3="00000000" w:csb0="0000019F" w:csb1="00000000"/>
    <w:embedRegular r:id="rId5" w:fontKey="{0275EC98-C836-4506-A369-588B4356D4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E70" w:rsidRPr="005C72BF" w:rsidRDefault="005C72BF" w:rsidP="005C72BF">
    <w:pPr>
      <w:pStyle w:val="Footer"/>
      <w:tabs>
        <w:tab w:val="clear" w:pos="4680"/>
        <w:tab w:val="clear" w:pos="9360"/>
        <w:tab w:val="center" w:pos="2995"/>
      </w:tabs>
      <w:spacing w:before="120"/>
    </w:pPr>
    <w:r>
      <w:t>[3017</w:t>
    </w:r>
    <w:r w:rsidR="00895369">
      <w:t>-</w:t>
    </w:r>
    <w:r w:rsidR="00895369">
      <w:fldChar w:fldCharType="begin"/>
    </w:r>
    <w:r w:rsidR="00895369">
      <w:instrText xml:space="preserve"> PAGE  \* MERGEFORMAT </w:instrText>
    </w:r>
    <w:r w:rsidR="00895369">
      <w:fldChar w:fldCharType="separate"/>
    </w:r>
    <w:r w:rsidR="008E0BA8">
      <w:rPr>
        <w:noProof/>
      </w:rPr>
      <w:t>1</w:t>
    </w:r>
    <w:r w:rsidR="00895369">
      <w:fldChar w:fldCharType="end"/>
    </w:r>
    <w:r w:rsidR="0089536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369" w:rsidRPr="005C72BF" w:rsidRDefault="00895369" w:rsidP="005C72BF">
    <w:pPr>
      <w:pStyle w:val="Footer"/>
      <w:tabs>
        <w:tab w:val="clear" w:pos="4680"/>
        <w:tab w:val="clear" w:pos="9360"/>
        <w:tab w:val="center" w:pos="2995"/>
      </w:tabs>
      <w:spacing w:before="120"/>
    </w:pPr>
    <w:r>
      <w:t>[3017]</w:t>
    </w:r>
    <w:r>
      <w:tab/>
    </w:r>
    <w:r>
      <w:fldChar w:fldCharType="begin"/>
    </w:r>
    <w:r>
      <w:instrText xml:space="preserve"> PAGE  \* MERGEFORMAT </w:instrText>
    </w:r>
    <w:r>
      <w:fldChar w:fldCharType="separate"/>
    </w:r>
    <w:r w:rsidR="005B58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1C0" w:rsidRDefault="00AD41C0" w:rsidP="009F0C77">
      <w:r>
        <w:separator/>
      </w:r>
    </w:p>
  </w:footnote>
  <w:footnote w:type="continuationSeparator" w:id="0">
    <w:p w:rsidR="00AD41C0" w:rsidRDefault="00AD41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3WAB21"/>
    <w:docVar w:name="CoverBillType" w:val="b"/>
    <w:docVar w:name="DocPath" w:val="L:\Council\bills\RT\17803WAB21.DOCX"/>
    <w:docVar w:name="dvBillNumber" w:val="3017"/>
    <w:docVar w:name="dvBillNumberPrefix" w:val="H. "/>
    <w:docVar w:name="dvOriginalBody" w:val="House"/>
    <w:docVar w:name="dvSteno" w:val="RT"/>
    <w:docVar w:name="NameofBody" w:val="h"/>
    <w:docVar w:name="vGroup2" w:val="Council"/>
  </w:docVars>
  <w:rsids>
    <w:rsidRoot w:val="00AD41C0"/>
    <w:rsid w:val="00011869"/>
    <w:rsid w:val="00015CD6"/>
    <w:rsid w:val="000E0100"/>
    <w:rsid w:val="000E1785"/>
    <w:rsid w:val="000F40FA"/>
    <w:rsid w:val="001035F1"/>
    <w:rsid w:val="0010776B"/>
    <w:rsid w:val="00131D9D"/>
    <w:rsid w:val="00133E66"/>
    <w:rsid w:val="001435A3"/>
    <w:rsid w:val="00146ED3"/>
    <w:rsid w:val="00151044"/>
    <w:rsid w:val="00186EDA"/>
    <w:rsid w:val="001D08F2"/>
    <w:rsid w:val="001D3A58"/>
    <w:rsid w:val="001D525B"/>
    <w:rsid w:val="001D7F4F"/>
    <w:rsid w:val="00205238"/>
    <w:rsid w:val="002321B6"/>
    <w:rsid w:val="00232912"/>
    <w:rsid w:val="00250967"/>
    <w:rsid w:val="002543C8"/>
    <w:rsid w:val="0025541D"/>
    <w:rsid w:val="00284AAE"/>
    <w:rsid w:val="002B45A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783"/>
    <w:rsid w:val="00577C6C"/>
    <w:rsid w:val="005A62FE"/>
    <w:rsid w:val="005B3400"/>
    <w:rsid w:val="005B5817"/>
    <w:rsid w:val="005C2FE2"/>
    <w:rsid w:val="005C72BF"/>
    <w:rsid w:val="005E2BC9"/>
    <w:rsid w:val="00605102"/>
    <w:rsid w:val="006215AA"/>
    <w:rsid w:val="006913C9"/>
    <w:rsid w:val="0069470D"/>
    <w:rsid w:val="006D58AA"/>
    <w:rsid w:val="00734F00"/>
    <w:rsid w:val="00736959"/>
    <w:rsid w:val="007A413E"/>
    <w:rsid w:val="007A70AE"/>
    <w:rsid w:val="00824E70"/>
    <w:rsid w:val="008362E8"/>
    <w:rsid w:val="0085786E"/>
    <w:rsid w:val="00895369"/>
    <w:rsid w:val="008A1768"/>
    <w:rsid w:val="008A489F"/>
    <w:rsid w:val="008E0BA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1C0"/>
    <w:rsid w:val="00AD4B17"/>
    <w:rsid w:val="00B312E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1BD3"/>
    <w:rsid w:val="00DD23E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F290D-83CE-4814-A283-45E1AEAD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E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E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3F64B-6EA8-41C2-96BC-5858896C0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3215</Characters>
  <Application>Microsoft Office Word</Application>
  <DocSecurity>0</DocSecurity>
  <Lines>100</Lines>
  <Paragraphs>26</Paragraphs>
  <ScaleCrop>false</ScaleCrop>
  <HeadingPairs>
    <vt:vector size="2" baseType="variant">
      <vt:variant>
        <vt:lpstr>Title</vt:lpstr>
      </vt:variant>
      <vt:variant>
        <vt:i4>1</vt:i4>
      </vt:variant>
    </vt:vector>
  </HeadingPairs>
  <TitlesOfParts>
    <vt:vector size="1" baseType="lpstr">
      <vt:lpstr>2021-2022 Bill 3017: Subject not yet available - South Carolina Legislature Online</vt:lpstr>
    </vt:vector>
  </TitlesOfParts>
  <Company>LPITS</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3017 Text of Previous Version (Apr. 20, 2021) - South Carolina Legislature Online</dc:title>
  <dc:creator>Rebecca Turner</dc:creator>
  <cp:lastModifiedBy>Brent Walling</cp:lastModifiedBy>
  <cp:revision>2</cp:revision>
  <cp:lastPrinted>2021-04-20T18:01:00Z</cp:lastPrinted>
  <dcterms:created xsi:type="dcterms:W3CDTF">2021-04-20T19:51:00Z</dcterms:created>
  <dcterms:modified xsi:type="dcterms:W3CDTF">2021-04-20T19:51:00Z</dcterms:modified>
</cp:coreProperties>
</file>