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8E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372DF" w:rsidRP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6068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r w:rsidR="006E4CAC">
        <w:t xml:space="preserve"> AND AMENDED</w:t>
      </w:r>
    </w:p>
    <w:p w:rsidR="00C372DF" w:rsidRDefault="006068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C372DF">
        <w:t>, 2022</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Pr="00C372DF" w:rsidRDefault="00C372DF" w:rsidP="00C372DF">
      <w:pPr>
        <w:tabs>
          <w:tab w:val="right" w:pos="5933"/>
        </w:tabs>
        <w:suppressAutoHyphens/>
      </w:pPr>
      <w:r>
        <w:tab/>
      </w:r>
      <w:r>
        <w:rPr>
          <w:b/>
          <w:sz w:val="36"/>
        </w:rPr>
        <w:t>H. 3050</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McGarry, Wooten, Hixon, Erickson and Bradley</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60684C" w:rsidP="0045254F">
      <w:pPr>
        <w:tabs>
          <w:tab w:val="right" w:pos="5933"/>
        </w:tabs>
        <w:suppressAutoHyphens/>
      </w:pPr>
      <w:r>
        <w:t>S. Printed 5/3</w:t>
      </w:r>
      <w:r w:rsidR="00C372DF">
        <w:t>/22--S.</w:t>
      </w:r>
      <w:r w:rsidR="0045254F">
        <w:tab/>
        <w:t>[SEC 5/4/22 11:32 AM]</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P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72DF" w:rsidSect="005B38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bookmarkEnd w:id="1"/>
    </w:p>
    <w:p w:rsidR="00086773" w:rsidRDefault="00606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684C" w:rsidRDefault="00606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1.</w:t>
      </w:r>
      <w:r w:rsidRPr="009D7E0B">
        <w:rPr>
          <w:rFonts w:eastAsia="Calibri"/>
          <w:u w:color="000000"/>
        </w:rPr>
        <w:tab/>
        <w:t>Section 23-23-40 of the 1976 Code is amended to read: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“Section 23-23-40.</w:t>
      </w:r>
      <w:r w:rsidRPr="009D7E0B">
        <w:rPr>
          <w:rFonts w:eastAsia="Calibri"/>
          <w:u w:color="000000"/>
        </w:rPr>
        <w:tab/>
      </w:r>
      <w:r w:rsidRPr="009D7E0B">
        <w:rPr>
          <w:rFonts w:eastAsia="Calibri"/>
          <w:u w:val="single"/>
        </w:rPr>
        <w:t>(A)</w:t>
      </w:r>
      <w:r w:rsidRPr="009D7E0B">
        <w:rPr>
          <w:rFonts w:eastAsia="Calibri"/>
          <w:u w:color="000000"/>
        </w:rPr>
        <w:tab/>
        <w:t xml:space="preserve">No law enforcement officer employed or appointed on or after July 1, </w:t>
      </w:r>
      <w:r w:rsidRPr="009D7E0B">
        <w:rPr>
          <w:rFonts w:eastAsia="Calibri"/>
          <w:strike/>
          <w:u w:color="000000"/>
        </w:rPr>
        <w:t>1989</w:t>
      </w:r>
      <w:r w:rsidRPr="009D7E0B">
        <w:rPr>
          <w:rFonts w:eastAsia="Calibri"/>
          <w:u w:color="000000"/>
        </w:rPr>
        <w:t xml:space="preserve"> </w:t>
      </w:r>
      <w:r w:rsidRPr="009D7E0B">
        <w:rPr>
          <w:rFonts w:eastAsia="Calibri"/>
          <w:u w:val="single" w:color="000000"/>
        </w:rPr>
        <w:t>2022</w:t>
      </w:r>
      <w:r w:rsidRPr="009D7E0B">
        <w:rPr>
          <w:rFonts w:eastAsia="Calibri"/>
          <w:u w:color="000000"/>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w:t>
      </w:r>
      <w:r w:rsidRPr="009D7E0B">
        <w:rPr>
          <w:rFonts w:eastAsia="Calibri"/>
          <w:u w:color="000000"/>
        </w:rPr>
        <w:lastRenderedPageBreak/>
        <w:t>three working days 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sidRPr="009D7E0B">
        <w:rPr>
          <w:rFonts w:eastAsia="Calibri"/>
          <w:u w:val="single" w:color="000000"/>
        </w:rPr>
        <w:t>; and shall only perform his duties as a law enforcement officer while accompanied by a certified law enforcement officer</w:t>
      </w:r>
      <w:r w:rsidRPr="009D7E0B">
        <w:rPr>
          <w:rFonts w:eastAsia="Calibri"/>
          <w:u w:color="000000"/>
        </w:rPr>
        <w:t xml:space="preserve">.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w:t>
      </w:r>
      <w:r w:rsidRPr="009D7E0B">
        <w:rPr>
          <w:rFonts w:eastAsia="Calibri"/>
          <w:strike/>
          <w:u w:color="000000"/>
        </w:rPr>
        <w:t>powers</w:t>
      </w:r>
      <w:r w:rsidRPr="009D7E0B">
        <w:rPr>
          <w:rFonts w:eastAsia="Calibri"/>
          <w:u w:color="000000"/>
        </w:rPr>
        <w:t xml:space="preserve"> </w:t>
      </w:r>
      <w:r w:rsidRPr="009D7E0B">
        <w:rPr>
          <w:rFonts w:eastAsia="Calibri"/>
          <w:u w:val="single" w:color="000000"/>
        </w:rPr>
        <w:t>power</w:t>
      </w:r>
      <w:r w:rsidRPr="009D7E0B">
        <w:rPr>
          <w:rFonts w:eastAsia="Calibri"/>
          <w:u w:color="000000"/>
        </w:rPr>
        <w:t xml:space="preserve">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9D7E0B">
        <w:rPr>
          <w:rFonts w:eastAsia="Calibri"/>
          <w:u w:color="000000"/>
        </w:rPr>
        <w:noBreakHyphen/>
        <w:t>year rule may be granted by the director in these cases: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D7E0B">
        <w:rPr>
          <w:rFonts w:eastAsia="Calibri"/>
          <w:u w:color="000000"/>
        </w:rPr>
        <w:tab/>
        <w:t>(1)</w:t>
      </w:r>
      <w:r w:rsidRPr="009D7E0B">
        <w:rPr>
          <w:rFonts w:eastAsia="Calibri"/>
          <w:u w:color="000000"/>
        </w:rPr>
        <w:tab/>
        <w:t>military leave or injury occurring during that first year which would preclude the receiving of training within the usual period of time; or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D7E0B">
        <w:rPr>
          <w:rFonts w:eastAsia="Calibri"/>
          <w:u w:color="000000"/>
        </w:rPr>
        <w:tab/>
        <w:t>(2)</w:t>
      </w:r>
      <w:r w:rsidRPr="009D7E0B">
        <w:rPr>
          <w:rFonts w:eastAsia="Calibri"/>
          <w:u w:color="000000"/>
        </w:rPr>
        <w:tab/>
        <w:t>in the event of the timely filing of application for training, which application, under circumstances of time and physical limitations, cannot be honored by the training academy within the prescribed period; or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D7E0B">
        <w:rPr>
          <w:rFonts w:eastAsia="Calibri"/>
          <w:u w:color="000000"/>
        </w:rPr>
        <w:tab/>
        <w:t>(3)</w:t>
      </w:r>
      <w:r w:rsidRPr="009D7E0B">
        <w:rPr>
          <w:rFonts w:eastAsia="Calibri"/>
          <w:u w:color="000000"/>
        </w:rPr>
        <w:tab/>
        <w:t>upon presentation of documentary evidence that the officer</w:t>
      </w:r>
      <w:r w:rsidRPr="009D7E0B">
        <w:rPr>
          <w:rFonts w:eastAsia="Calibri"/>
          <w:u w:color="000000"/>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Pr>
          <w:rFonts w:eastAsia="Calibri"/>
          <w:u w:color="000000"/>
        </w:rPr>
        <w:tab/>
        <w:t>(4)</w:t>
      </w:r>
      <w:r>
        <w:rPr>
          <w:rFonts w:eastAsia="Calibri"/>
          <w:u w:color="000000"/>
        </w:rPr>
        <w:tab/>
        <w:t>i</w:t>
      </w:r>
      <w:r w:rsidRPr="009D7E0B">
        <w:rPr>
          <w:rFonts w:eastAsia="Calibri"/>
          <w:u w:color="000000"/>
        </w:rPr>
        <w:t>f it is determined by documentary evidence that the training will result in undue hardship to the requesting agency, the requesting agency must propose an alternate training schedule for approval.</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val="single"/>
        </w:rPr>
        <w:t>(B)</w:t>
      </w:r>
      <w:r w:rsidRPr="009D7E0B">
        <w:rPr>
          <w:rFonts w:eastAsia="Calibri"/>
          <w:u w:color="000000"/>
        </w:rPr>
        <w:tab/>
        <w:t xml:space="preserve">Notwithstanding another provision of law, in the case of a candidate for certification who begins one or more periods of state or federal military service within one year after his date of </w:t>
      </w:r>
      <w:r w:rsidRPr="009D7E0B">
        <w:rPr>
          <w:rFonts w:eastAsia="Calibri"/>
          <w:u w:color="000000"/>
        </w:rPr>
        <w:lastRenderedPageBreak/>
        <w:t>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SECTION</w:t>
      </w:r>
      <w:r w:rsidRPr="00B1166C">
        <w:rPr>
          <w:snapToGrid w:val="0"/>
        </w:rPr>
        <w:tab/>
        <w:t>2.</w:t>
      </w:r>
      <w:r w:rsidRPr="00B1166C">
        <w:rPr>
          <w:snapToGrid w:val="0"/>
        </w:rPr>
        <w:tab/>
        <w:t>Sections 23</w:t>
      </w:r>
      <w:r w:rsidRPr="00B1166C">
        <w:rPr>
          <w:snapToGrid w:val="0"/>
        </w:rPr>
        <w:noBreakHyphen/>
        <w:t>23</w:t>
      </w:r>
      <w:r w:rsidRPr="00B1166C">
        <w:rPr>
          <w:snapToGrid w:val="0"/>
        </w:rPr>
        <w:noBreakHyphen/>
        <w:t>150(A) and (B) of the 1976 Code, as added by Act 215 of 2018, are amended to read:</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t>“(A)</w:t>
      </w:r>
      <w:r w:rsidRPr="00B1166C">
        <w:rPr>
          <w:snapToGrid w:val="0"/>
        </w:rPr>
        <w:tab/>
        <w:t>For purposes of this section:</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t>(1)</w:t>
      </w:r>
      <w:r w:rsidRPr="00B1166C">
        <w:rPr>
          <w:snapToGrid w:val="0"/>
        </w:rPr>
        <w:tab/>
        <w:t>‘Academy’ means the South Carolina Criminal Justice Academy.</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t>(2)</w:t>
      </w:r>
      <w:r w:rsidRPr="00B1166C">
        <w:rPr>
          <w:snapToGrid w:val="0"/>
        </w:rPr>
        <w:tab/>
        <w:t>‘Council’ means the Law Enforcement Training Council.</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t>(3)</w:t>
      </w:r>
      <w:r w:rsidRPr="00B1166C">
        <w:rPr>
          <w:snapToGrid w:val="0"/>
        </w:rPr>
        <w:tab/>
        <w:t>‘Misconduct’ means:</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(a)</w:t>
      </w:r>
      <w:r w:rsidRPr="00B1166C">
        <w:rPr>
          <w:snapToGrid w:val="0"/>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(b)</w:t>
      </w:r>
      <w:r w:rsidRPr="00B1166C">
        <w:rPr>
          <w:snapToGrid w:val="0"/>
        </w:rPr>
        <w:tab/>
        <w:t>the unlawful use of a controlled substance;</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(c)</w:t>
      </w:r>
      <w:r w:rsidRPr="00B1166C">
        <w:rPr>
          <w:snapToGrid w:val="0"/>
        </w:rPr>
        <w:tab/>
        <w:t>the repeated use of excessive force in dealing with the public or prisoners;</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(d)</w:t>
      </w:r>
      <w:r w:rsidRPr="00B1166C">
        <w:rPr>
          <w:snapToGrid w:val="0"/>
        </w:rPr>
        <w:tab/>
        <w:t>dangerous or unsafe practices involving firearms, weapons, or vehicles which indicate either a wilful or wanton disregard for the safety of persons or property;</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(e)</w:t>
      </w:r>
      <w:r w:rsidRPr="00B1166C">
        <w:rPr>
          <w:snapToGrid w:val="0"/>
        </w:rPr>
        <w:tab/>
        <w:t>the physical or psychological abuse of members of the public or prisoners;</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1166C">
        <w:rPr>
          <w:snapToGrid w:val="0"/>
        </w:rPr>
        <w:tab/>
      </w:r>
      <w:r w:rsidRPr="00B1166C">
        <w:rPr>
          <w:snapToGrid w:val="0"/>
        </w:rPr>
        <w:tab/>
      </w:r>
      <w:r w:rsidRPr="00B1166C">
        <w:rPr>
          <w:snapToGrid w:val="0"/>
        </w:rPr>
        <w:tab/>
        <w:t>(f)</w:t>
      </w:r>
      <w:r w:rsidRPr="00B1166C">
        <w:rPr>
          <w:snapToGrid w:val="0"/>
        </w:rPr>
        <w:tab/>
      </w:r>
      <w:r w:rsidRPr="00B1166C">
        <w:rPr>
          <w:snapToGrid w:val="0"/>
          <w:u w:val="single"/>
        </w:rPr>
        <w:t>the wilful failure to intervene when observing another officer physically abusing a person, whether or not the person is in custody, while in the performance of his official duties, if the officer knew the person’s rights were being violated, the officer had an opportunity to intervene, and the officer chose not to do so;</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1166C">
        <w:rPr>
          <w:snapToGrid w:val="0"/>
        </w:rPr>
        <w:tab/>
      </w:r>
      <w:r w:rsidRPr="00B1166C">
        <w:rPr>
          <w:snapToGrid w:val="0"/>
        </w:rPr>
        <w:tab/>
      </w:r>
      <w:r w:rsidRPr="00B1166C">
        <w:rPr>
          <w:snapToGrid w:val="0"/>
        </w:rPr>
        <w:tab/>
      </w:r>
      <w:r w:rsidRPr="00B1166C">
        <w:rPr>
          <w:snapToGrid w:val="0"/>
          <w:u w:val="single"/>
        </w:rPr>
        <w:t>(g)</w:t>
      </w:r>
      <w:r w:rsidRPr="00B1166C">
        <w:rPr>
          <w:snapToGrid w:val="0"/>
        </w:rPr>
        <w:tab/>
      </w:r>
      <w:r w:rsidRPr="00B1166C">
        <w:rPr>
          <w:snapToGrid w:val="0"/>
          <w:u w:val="single"/>
        </w:rPr>
        <w:t>the wilful and knowing failure to promptly report another officer, while in the performance of his official duties, abusing a person whether or not the person is in custody;</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lastRenderedPageBreak/>
        <w:tab/>
      </w:r>
      <w:r w:rsidRPr="00B1166C">
        <w:rPr>
          <w:snapToGrid w:val="0"/>
        </w:rPr>
        <w:tab/>
      </w:r>
      <w:r w:rsidRPr="00B1166C">
        <w:rPr>
          <w:snapToGrid w:val="0"/>
        </w:rPr>
        <w:tab/>
      </w:r>
      <w:r w:rsidRPr="00B1166C">
        <w:rPr>
          <w:snapToGrid w:val="0"/>
          <w:u w:val="single"/>
        </w:rPr>
        <w:t>(h)</w:t>
      </w:r>
      <w:r w:rsidRPr="00B1166C">
        <w:rPr>
          <w:snapToGrid w:val="0"/>
        </w:rPr>
        <w:tab/>
        <w:t>the misrepresentation of employment</w:t>
      </w:r>
      <w:r w:rsidRPr="00B1166C">
        <w:rPr>
          <w:snapToGrid w:val="0"/>
        </w:rPr>
        <w:noBreakHyphen/>
        <w:t>related information;</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(g)</w:t>
      </w:r>
      <w:r w:rsidRPr="00B1166C">
        <w:rPr>
          <w:snapToGrid w:val="0"/>
          <w:u w:val="single"/>
        </w:rPr>
        <w:t>(i)</w:t>
      </w:r>
      <w:r w:rsidRPr="00B1166C">
        <w:rPr>
          <w:snapToGrid w:val="0"/>
        </w:rPr>
        <w:tab/>
        <w:t>wilfully making false, misleading, incomplete, deceitful, or incorrect statements to a law enforcement officer, a law enforcement agency, or a representative of the agency, except when required by departmental policy or by the laws of this State;</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(h)</w:t>
      </w:r>
      <w:r w:rsidRPr="00B1166C">
        <w:rPr>
          <w:snapToGrid w:val="0"/>
          <w:u w:val="single"/>
        </w:rPr>
        <w:t>(j)</w:t>
      </w:r>
      <w:r w:rsidRPr="00B1166C">
        <w:rPr>
          <w:snapToGrid w:val="0"/>
        </w:rPr>
        <w:tab/>
        <w:t>wilfully making false, misleading, incomplete, deceitful, or incorrect statements to any court of competent jurisdiction, or their staff members, whether under oath or not;</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(i)</w:t>
      </w:r>
      <w:r w:rsidRPr="00B1166C">
        <w:rPr>
          <w:snapToGrid w:val="0"/>
          <w:u w:val="single"/>
        </w:rPr>
        <w:t>(k)</w:t>
      </w:r>
      <w:r w:rsidRPr="00B1166C">
        <w:rPr>
          <w:snapToGrid w:val="0"/>
        </w:rPr>
        <w:tab/>
        <w:t>wilfully providing false, misleading, incomplete, deceitful, or incorrect information on a document, record, report, or form, except when required by departmental policy or by the laws of this State;</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(j)</w:t>
      </w:r>
      <w:r w:rsidRPr="00B1166C">
        <w:rPr>
          <w:snapToGrid w:val="0"/>
          <w:u w:val="single"/>
        </w:rPr>
        <w:t>(l)</w:t>
      </w:r>
      <w:r w:rsidR="0045254F">
        <w:rPr>
          <w:snapToGrid w:val="0"/>
          <w:u w:val="single"/>
        </w:rPr>
        <w:tab/>
      </w:r>
      <w:r w:rsidRPr="00B1166C">
        <w:rPr>
          <w:snapToGrid w:val="0"/>
        </w:rPr>
        <w:tab/>
        <w:t>the falsification of any application for certification and training based upon which the officer was admitted for training; or</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(k)</w:t>
      </w:r>
      <w:r w:rsidRPr="00B1166C">
        <w:rPr>
          <w:snapToGrid w:val="0"/>
          <w:u w:val="single"/>
        </w:rPr>
        <w:t>(m)</w:t>
      </w:r>
      <w:r w:rsidRPr="00B1166C">
        <w:rPr>
          <w:snapToGrid w:val="0"/>
        </w:rPr>
        <w:tab/>
      </w:r>
      <w:r w:rsidRPr="00B1166C">
        <w:rPr>
          <w:snapToGrid w:val="0"/>
          <w:u w:val="single"/>
        </w:rPr>
        <w:t>wilfully</w:t>
      </w:r>
      <w:r w:rsidRPr="00B1166C">
        <w:rPr>
          <w:snapToGrid w:val="0"/>
        </w:rPr>
        <w:t xml:space="preserve"> providing false information to the Criminal Justice Academy </w:t>
      </w:r>
      <w:r w:rsidRPr="00B1166C">
        <w:rPr>
          <w:snapToGrid w:val="0"/>
          <w:u w:val="single"/>
        </w:rPr>
        <w:t>or the Law Enforcement Training Council</w:t>
      </w:r>
      <w:r w:rsidRPr="00B1166C">
        <w:rPr>
          <w:snapToGrid w:val="0"/>
        </w:rPr>
        <w:t>.</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1166C">
        <w:rPr>
          <w:snapToGrid w:val="0"/>
        </w:rPr>
        <w:tab/>
        <w:t>(B)</w:t>
      </w:r>
      <w:r w:rsidRPr="00B1166C">
        <w:rPr>
          <w:snapToGrid w:val="0"/>
          <w:u w:val="single"/>
        </w:rPr>
        <w:t>(1)</w:t>
      </w:r>
      <w:r w:rsidRPr="00B1166C">
        <w:rPr>
          <w:snapToGrid w:val="0"/>
        </w:rPr>
        <w:tab/>
        <w:t xml:space="preserve">The sheriff or the chief executive officer of a law enforcement agency or department within the State must report to the academy the occurrence of any act or multiple acts </w:t>
      </w:r>
      <w:r w:rsidRPr="00B1166C">
        <w:rPr>
          <w:strike/>
          <w:snapToGrid w:val="0"/>
        </w:rPr>
        <w:t>of misconduct</w:t>
      </w:r>
      <w:r w:rsidRPr="00B1166C">
        <w:rPr>
          <w:snapToGrid w:val="0"/>
        </w:rPr>
        <w:t xml:space="preserve"> by a law enforcement officer</w:t>
      </w:r>
      <w:r w:rsidRPr="00B1166C">
        <w:rPr>
          <w:snapToGrid w:val="0"/>
          <w:u w:val="single"/>
        </w:rPr>
        <w:t>, who is currently or was last employed by his agency, he reasonably believes to be misconduct</w:t>
      </w:r>
      <w:r w:rsidRPr="00B1166C">
        <w:rPr>
          <w:snapToGrid w:val="0"/>
        </w:rPr>
        <w:t xml:space="preserve"> </w:t>
      </w:r>
      <w:r w:rsidRPr="00B1166C">
        <w:rPr>
          <w:strike/>
          <w:snapToGrid w:val="0"/>
        </w:rPr>
        <w:t>which could result in the withdrawal of the certification of the law enforcement officer who is currently or was last employed by his agency</w:t>
      </w:r>
      <w:r w:rsidRPr="00B1166C">
        <w:rPr>
          <w:snapToGrid w:val="0"/>
        </w:rPr>
        <w:t>. The report shall be made within fifteen days of the final agency or department action resulting from the internal investigation conducted by the agency or department, and shall be on a form prescribed by the council.</w:t>
      </w:r>
      <w:r w:rsidRPr="00B1166C">
        <w:rPr>
          <w:snapToGrid w:val="0"/>
          <w:u w:val="single"/>
        </w:rPr>
        <w:t xml:space="preserve"> </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u w:val="single"/>
        </w:rPr>
        <w:t>(2)</w:t>
      </w:r>
      <w:r w:rsidRPr="00B1166C">
        <w:rPr>
          <w:snapToGrid w:val="0"/>
        </w:rPr>
        <w:tab/>
      </w:r>
      <w:r w:rsidRPr="00B1166C">
        <w:rPr>
          <w:snapToGrid w:val="0"/>
          <w:u w:val="single"/>
        </w:rPr>
        <w:t>Reported incidences of misconduct shall be prosecuted by the reporting agency before the contested case hearing. The reporting agency shall maintain prosecutorial discretion up to the time of the contested case hearing. If the agency declines to prosecute the allegation or allegations of misconduct, the agency shall provide a written report to the council stating that the case is not being prosecuted.</w:t>
      </w:r>
      <w:r w:rsidRPr="00B1166C">
        <w:rPr>
          <w:snapToGrid w:val="0"/>
        </w:rPr>
        <w:t xml:space="preserve"> </w:t>
      </w:r>
    </w:p>
    <w:p w:rsidR="0060684C" w:rsidRPr="009D7E0B"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B1166C">
        <w:rPr>
          <w:snapToGrid w:val="0"/>
        </w:rPr>
        <w:tab/>
      </w:r>
      <w:r w:rsidRPr="00B1166C">
        <w:rPr>
          <w:snapToGrid w:val="0"/>
        </w:rPr>
        <w:tab/>
      </w:r>
      <w:r w:rsidRPr="00B1166C">
        <w:rPr>
          <w:snapToGrid w:val="0"/>
          <w:u w:val="single"/>
        </w:rPr>
        <w:t>(3)</w:t>
      </w:r>
      <w:r w:rsidRPr="00B1166C">
        <w:rPr>
          <w:snapToGrid w:val="0"/>
        </w:rPr>
        <w:tab/>
        <w:t xml:space="preserve">A wilful failure to report information related to acts of misconduct shall subject the violator to a civil penalty as provided by the council. </w:t>
      </w:r>
      <w:r w:rsidRPr="00B1166C">
        <w:rPr>
          <w:snapToGrid w:val="0"/>
          <w:u w:val="single"/>
        </w:rPr>
        <w:t>The council may impose civil fines, in its discretion, not to exceed five hundred dollars per day for each day an agency is out of compliance with this section.</w:t>
      </w:r>
      <w:r w:rsidRPr="00B1166C">
        <w:rPr>
          <w:snapToGrid w:val="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lastRenderedPageBreak/>
        <w:t>SECTION</w:t>
      </w:r>
      <w:r w:rsidRPr="009D7E0B">
        <w:rPr>
          <w:rFonts w:eastAsia="Calibri"/>
          <w:u w:color="000000"/>
        </w:rPr>
        <w:tab/>
        <w:t>3.</w:t>
      </w:r>
      <w:r w:rsidRPr="009D7E0B">
        <w:rPr>
          <w:rFonts w:eastAsia="Calibri"/>
          <w:u w:color="000000"/>
        </w:rPr>
        <w:tab/>
        <w:t>Chapter 1, Title 23 of the 1976 Code is amended by adding: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“Section 23-1-250.</w:t>
      </w:r>
      <w:r w:rsidRPr="009D7E0B">
        <w:rPr>
          <w:rFonts w:eastAsia="Calibri"/>
          <w:u w:color="000000"/>
        </w:rPr>
        <w:tab/>
        <w:t>(A)</w:t>
      </w:r>
      <w:r w:rsidRPr="009D7E0B">
        <w:rPr>
          <w:rFonts w:eastAsia="Calibri"/>
          <w:u w:color="000000"/>
        </w:rPr>
        <w:tab/>
        <w:t>The use of a chokehold or carotid hold is limited to circumstances where the use of deadly force would otherwise be authorized and is objectively reasonable.</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w:t>
      </w:r>
      <w:r>
        <w:rPr>
          <w:rFonts w:eastAsia="Calibri"/>
          <w:u w:color="000000"/>
        </w:rPr>
        <w:t>B</w:t>
      </w:r>
      <w:r w:rsidRPr="009D7E0B">
        <w:rPr>
          <w:rFonts w:eastAsia="Calibri"/>
          <w:u w:color="000000"/>
        </w:rPr>
        <w:t>)</w:t>
      </w:r>
      <w:r w:rsidRPr="009D7E0B">
        <w:rPr>
          <w:rFonts w:eastAsia="Calibri"/>
          <w:u w:color="000000"/>
        </w:rPr>
        <w:tab/>
        <w:t>In addition to any other penalty provided by law, the wilful use of excessive force in an objectively unreasonable manner may be considered misconduct and may serve as grounds for disciplinary action against the law enforcement officer, including dismissal, demotion, suspension, or transfer.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w:t>
      </w:r>
      <w:r>
        <w:rPr>
          <w:rFonts w:eastAsia="Calibri"/>
          <w:u w:color="000000"/>
        </w:rPr>
        <w:t>C</w:t>
      </w:r>
      <w:r w:rsidRPr="009D7E0B">
        <w:rPr>
          <w:rFonts w:eastAsia="Calibri"/>
          <w:u w:color="000000"/>
        </w:rPr>
        <w:t>)</w:t>
      </w:r>
      <w:r w:rsidRPr="009D7E0B">
        <w:rPr>
          <w:rFonts w:eastAsia="Calibri"/>
          <w:u w:color="000000"/>
        </w:rPr>
        <w:tab/>
        <w:t>The Law Enforcement Training Council shall develop and implement curricul</w:t>
      </w:r>
      <w:r>
        <w:rPr>
          <w:rFonts w:eastAsia="Calibri"/>
          <w:u w:color="000000"/>
        </w:rPr>
        <w:t>a</w:t>
      </w:r>
      <w:r w:rsidRPr="009D7E0B">
        <w:rPr>
          <w:rFonts w:eastAsia="Calibri"/>
          <w:u w:color="000000"/>
        </w:rPr>
        <w:t xml:space="preserve"> and standards to address the lawful justifiable use of chokeholds and carotid holds in accordance with this section.”</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4.</w:t>
      </w:r>
      <w:r w:rsidRPr="009D7E0B">
        <w:rPr>
          <w:rFonts w:eastAsia="Calibri"/>
          <w:u w:color="000000"/>
        </w:rPr>
        <w:tab/>
        <w:t>Chapter 23, Title 23 of the 1976 Code is amended by adding: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“Section 23-23-8</w:t>
      </w:r>
      <w:r>
        <w:rPr>
          <w:rFonts w:eastAsia="Calibri"/>
          <w:u w:color="000000"/>
        </w:rPr>
        <w:t>5</w:t>
      </w:r>
      <w:r w:rsidRPr="009D7E0B">
        <w:rPr>
          <w:rFonts w:eastAsia="Calibri"/>
          <w:u w:color="000000"/>
        </w:rPr>
        <w:t>.</w:t>
      </w:r>
      <w:r>
        <w:rPr>
          <w:rFonts w:eastAsia="Calibri"/>
          <w:u w:color="000000"/>
        </w:rPr>
        <w:tab/>
        <w:t>(A)</w:t>
      </w:r>
      <w:r w:rsidRPr="009D7E0B">
        <w:rPr>
          <w:rFonts w:eastAsia="Calibri"/>
          <w:u w:color="000000"/>
        </w:rPr>
        <w:tab/>
        <w:t xml:space="preserve">The </w:t>
      </w:r>
      <w:r>
        <w:rPr>
          <w:rFonts w:eastAsia="Calibri"/>
          <w:u w:color="000000"/>
        </w:rPr>
        <w:t>c</w:t>
      </w:r>
      <w:r w:rsidRPr="009D7E0B">
        <w:rPr>
          <w:rFonts w:eastAsia="Calibri"/>
          <w:u w:color="000000"/>
        </w:rPr>
        <w:t>ouncil shall establish required minimum standards for all law enforcement agencies. The standards must include, but are not limited to, policies regarding: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(1)</w:t>
      </w:r>
      <w:r w:rsidRPr="009D7E0B">
        <w:rPr>
          <w:rFonts w:eastAsia="Calibri"/>
          <w:u w:color="000000"/>
        </w:rPr>
        <w:tab/>
        <w:t>the use of force and response to resistance by law enforcement officers. The policy must establish standards limiting officers to force that is objectively reasonable based on the totality of the circumstances involved. The policy must prohibit the use of chokeholds and carotid restraints as less lethal force options;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(2)</w:t>
      </w:r>
      <w:r w:rsidRPr="009D7E0B">
        <w:rPr>
          <w:rFonts w:eastAsia="Calibri"/>
          <w:u w:color="000000"/>
        </w:rPr>
        <w:tab/>
        <w:t>uniform vehicle pursuit standards and the use of lethal options during pursuit;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(3)</w:t>
      </w:r>
      <w:r w:rsidRPr="009D7E0B">
        <w:rPr>
          <w:rFonts w:eastAsia="Calibri"/>
          <w:u w:color="000000"/>
        </w:rPr>
        <w:tab/>
        <w:t>an officer’s duty to intervene in the actions of other observed officers;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(4)</w:t>
      </w:r>
      <w:r w:rsidRPr="009D7E0B">
        <w:rPr>
          <w:rFonts w:eastAsia="Calibri"/>
          <w:u w:color="000000"/>
        </w:rPr>
        <w:tab/>
        <w:t>hiring and terminating practices;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(5)</w:t>
      </w:r>
      <w:r w:rsidRPr="009D7E0B">
        <w:rPr>
          <w:rFonts w:eastAsia="Calibri"/>
          <w:u w:color="000000"/>
        </w:rPr>
        <w:tab/>
        <w:t>mandatory and uniform post basic academy field training;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(6)</w:t>
      </w:r>
      <w:r w:rsidRPr="009D7E0B">
        <w:rPr>
          <w:rFonts w:eastAsia="Calibri"/>
          <w:u w:color="000000"/>
        </w:rPr>
        <w:tab/>
        <w:t xml:space="preserve">uniform implementation and the use of body worn cameras;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(7)</w:t>
      </w:r>
      <w:r w:rsidRPr="009D7E0B">
        <w:rPr>
          <w:rFonts w:eastAsia="Calibri"/>
          <w:u w:color="000000"/>
        </w:rPr>
        <w:tab/>
        <w:t>the use of ‘no knock’ warrants;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(8)</w:t>
      </w:r>
      <w:r w:rsidRPr="009D7E0B">
        <w:rPr>
          <w:rFonts w:eastAsia="Calibri"/>
          <w:u w:color="000000"/>
        </w:rPr>
        <w:tab/>
        <w:t xml:space="preserve">the establishment, implementation, or continuation of systems and processes for filing and investigating complaints, including anonymous complaints, against the law enforcement agency or an employee of the law enforcement agency. The council shall require law enforcement agencies to have a written directive, which must be made available to the public, that delineates how complaints can be made, the investigative process of such complaints, and a maximum timeframe for the resolution of the </w:t>
      </w:r>
      <w:r w:rsidRPr="009D7E0B">
        <w:rPr>
          <w:rFonts w:eastAsia="Calibri"/>
          <w:u w:color="000000"/>
        </w:rPr>
        <w:lastRenderedPageBreak/>
        <w:t>complaint. All substantiated complaints must be reported to the council through standardized forms as promulgated by the council; and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(9)</w:t>
      </w:r>
      <w:r w:rsidRPr="009D7E0B">
        <w:rPr>
          <w:rFonts w:eastAsia="Calibri"/>
          <w:u w:color="000000"/>
        </w:rPr>
        <w:tab/>
        <w:t>the establishment, implementation, or continuation of an early warning system that identifies, assesses, reviews, and tracks at-risk behavior of employees and requires intervention where appropriate.</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(B)</w:t>
      </w:r>
      <w:r w:rsidRPr="009D7E0B">
        <w:rPr>
          <w:rFonts w:eastAsia="Calibri"/>
          <w:u w:color="000000"/>
        </w:rPr>
        <w:tab/>
        <w:t>For the purposes of this section, ‘at-risk behavior’ is defined as behavior or action that increases the risk of injury to an employee or to others, that could constitute a civil rights violation, or that could result in the law enforcement agency losing public support and confidence. Examples of ‘at-risk behavior’ shall include</w:t>
      </w:r>
      <w:r>
        <w:rPr>
          <w:rFonts w:eastAsia="Calibri"/>
          <w:u w:color="000000"/>
        </w:rPr>
        <w:t>,</w:t>
      </w:r>
      <w:r w:rsidRPr="009D7E0B">
        <w:rPr>
          <w:rFonts w:eastAsia="Calibri"/>
          <w:u w:color="000000"/>
        </w:rPr>
        <w:t xml:space="preserve"> but </w:t>
      </w:r>
      <w:r>
        <w:rPr>
          <w:rFonts w:eastAsia="Calibri"/>
          <w:u w:color="000000"/>
        </w:rPr>
        <w:t>are</w:t>
      </w:r>
      <w:r w:rsidRPr="009D7E0B">
        <w:rPr>
          <w:rFonts w:eastAsia="Calibri"/>
          <w:u w:color="000000"/>
        </w:rPr>
        <w:t xml:space="preserve"> not limited to</w:t>
      </w:r>
      <w:r>
        <w:rPr>
          <w:rFonts w:eastAsia="Calibri"/>
          <w:u w:color="000000"/>
        </w:rPr>
        <w:t>,</w:t>
      </w:r>
      <w:r w:rsidRPr="009D7E0B">
        <w:rPr>
          <w:rFonts w:eastAsia="Calibri"/>
          <w:u w:color="000000"/>
        </w:rPr>
        <w:t xml:space="preserve"> repeated uses of force, at-fault traffic accidents, repeated founded complaints, improper vehicle pursuits, repeated violations of agency policy or procedures, excessive use of leave, excessive Workers’ Compensation Claims, or documented substandard performance.</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(C)</w:t>
      </w:r>
      <w:r w:rsidRPr="009D7E0B">
        <w:rPr>
          <w:rFonts w:eastAsia="Calibri"/>
          <w:u w:color="000000"/>
        </w:rPr>
        <w:tab/>
        <w:t>The council shall have the authority to take punitive action against any law enforcement agency that refuses to comply with standards issued pursuant to this section, including civil fi</w:t>
      </w:r>
      <w:r>
        <w:rPr>
          <w:rFonts w:eastAsia="Calibri"/>
          <w:u w:color="000000"/>
        </w:rPr>
        <w:t>nes, as described in Section 23-23-</w:t>
      </w:r>
      <w:r w:rsidRPr="009D7E0B">
        <w:rPr>
          <w:rFonts w:eastAsia="Calibri"/>
          <w:u w:color="000000"/>
        </w:rPr>
        <w:t xml:space="preserve">100.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(D)</w:t>
      </w:r>
      <w:r w:rsidRPr="009D7E0B">
        <w:rPr>
          <w:rFonts w:eastAsia="Calibri"/>
          <w:u w:color="000000"/>
        </w:rPr>
        <w:tab/>
        <w:t>Nothing in this section shall be construed to prevent or prohibit law enforcement agencies from adopting policies that exceed the minimum standards adopted by the council.”</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5.</w:t>
      </w:r>
      <w:r w:rsidRPr="009D7E0B">
        <w:rPr>
          <w:rFonts w:eastAsia="Calibri"/>
          <w:u w:color="000000"/>
        </w:rPr>
        <w:tab/>
        <w:t>Chapter 23, Title 23 of the 1976 Code is amended by adding: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“Section 23</w:t>
      </w:r>
      <w:r w:rsidRPr="009D7E0B">
        <w:rPr>
          <w:rFonts w:eastAsia="Calibri"/>
          <w:u w:color="000000"/>
        </w:rPr>
        <w:noBreakHyphen/>
        <w:t>23</w:t>
      </w:r>
      <w:r w:rsidRPr="009D7E0B">
        <w:rPr>
          <w:rFonts w:eastAsia="Calibri"/>
          <w:u w:color="000000"/>
        </w:rPr>
        <w:noBreakHyphen/>
        <w:t>160.</w:t>
      </w:r>
      <w:r w:rsidRPr="009D7E0B">
        <w:rPr>
          <w:rFonts w:eastAsia="Calibri"/>
          <w:u w:color="000000"/>
        </w:rPr>
        <w:tab/>
        <w:t>(A)</w:t>
      </w:r>
      <w:r w:rsidRPr="009D7E0B">
        <w:rPr>
          <w:rFonts w:eastAsia="Calibri"/>
          <w:u w:color="000000"/>
        </w:rPr>
        <w:tab/>
        <w:t>There is hereby established a Compliance Division under the jurisdiction of the council. The inspectors and such other personnel as may be provided for the division shall be selected by the director.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(B)</w:t>
      </w:r>
      <w:r w:rsidRPr="009D7E0B">
        <w:rPr>
          <w:rFonts w:eastAsia="Calibri"/>
          <w:u w:color="000000"/>
        </w:rPr>
        <w:tab/>
        <w:t>The division shall be responsible for inspecting, at least once every three years, the relevant policies and procedures for every law enforcement agency in this State to ensure compliance with minimum standards established in Section 23</w:t>
      </w:r>
      <w:r w:rsidRPr="009D7E0B">
        <w:rPr>
          <w:rFonts w:eastAsia="Calibri"/>
          <w:u w:color="000000"/>
        </w:rPr>
        <w:noBreakHyphen/>
        <w:t>23</w:t>
      </w:r>
      <w:r w:rsidRPr="009D7E0B">
        <w:rPr>
          <w:rFonts w:eastAsia="Calibri"/>
          <w:u w:color="000000"/>
        </w:rPr>
        <w:noBreakHyphen/>
        <w:t>85. For the purposes of this section, ‘law enforcement agency’ means any agency or entity of the State or any of its political subdivisions that employs or appoints law enforcement officers.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(C)</w:t>
      </w:r>
      <w:r w:rsidRPr="009D7E0B">
        <w:rPr>
          <w:rFonts w:eastAsia="Calibri"/>
          <w:u w:color="000000"/>
        </w:rPr>
        <w:tab/>
        <w:t>If an inspection under this chapter discloses that a law enforcement agency does not meet the minimum standards established in Section 23</w:t>
      </w:r>
      <w:r w:rsidRPr="009D7E0B">
        <w:rPr>
          <w:rFonts w:eastAsia="Calibri"/>
          <w:u w:color="000000"/>
        </w:rPr>
        <w:noBreakHyphen/>
        <w:t>23</w:t>
      </w:r>
      <w:r w:rsidRPr="009D7E0B">
        <w:rPr>
          <w:rFonts w:eastAsia="Calibri"/>
          <w:u w:color="000000"/>
        </w:rPr>
        <w:noBreakHyphen/>
        <w:t xml:space="preserve">85, the council shall notify the law enforcement agency director and hold a meeting of the council to </w:t>
      </w:r>
      <w:r w:rsidRPr="009D7E0B">
        <w:rPr>
          <w:rFonts w:eastAsia="Calibri"/>
          <w:u w:color="000000"/>
        </w:rPr>
        <w:lastRenderedPageBreak/>
        <w:t>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9D7E0B">
        <w:rPr>
          <w:rFonts w:eastAsia="Calibri"/>
          <w:u w:color="000000"/>
        </w:rPr>
        <w:noBreakHyphen/>
        <w:t>23</w:t>
      </w:r>
      <w:r w:rsidRPr="009D7E0B">
        <w:rPr>
          <w:rFonts w:eastAsia="Calibri"/>
          <w:u w:color="000000"/>
        </w:rPr>
        <w:noBreakHyphen/>
        <w:t xml:space="preserve">100.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(D)</w:t>
      </w:r>
      <w:r w:rsidRPr="009D7E0B">
        <w:rPr>
          <w:rFonts w:eastAsia="Calibri"/>
          <w:u w:color="000000"/>
        </w:rPr>
        <w:tab/>
        <w:t>If a law enforcement agency produces evidence satisfactory to the director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Pr="009D7E0B">
        <w:rPr>
          <w:rFonts w:eastAsia="Calibri"/>
          <w:u w:color="000000"/>
        </w:rPr>
        <w:noBreakHyphen/>
        <w:t>23</w:t>
      </w:r>
      <w:r w:rsidRPr="009D7E0B">
        <w:rPr>
          <w:rFonts w:eastAsia="Calibri"/>
          <w:u w:color="000000"/>
        </w:rPr>
        <w:noBreakHyphen/>
        <w:t>85.”</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7E0B">
        <w:rPr>
          <w:snapToGrid w:val="0"/>
        </w:rPr>
        <w:t>SECTION</w:t>
      </w:r>
      <w:r w:rsidRPr="009D7E0B">
        <w:rPr>
          <w:snapToGrid w:val="0"/>
        </w:rPr>
        <w:tab/>
        <w:t>6.</w:t>
      </w:r>
      <w:r w:rsidRPr="009D7E0B">
        <w:rPr>
          <w:snapToGrid w:val="0"/>
        </w:rPr>
        <w:tab/>
        <w:t>Section 23</w:t>
      </w:r>
      <w:r w:rsidRPr="009D7E0B">
        <w:rPr>
          <w:snapToGrid w:val="0"/>
        </w:rPr>
        <w:noBreakHyphen/>
        <w:t>23</w:t>
      </w:r>
      <w:r w:rsidRPr="009D7E0B">
        <w:rPr>
          <w:snapToGrid w:val="0"/>
        </w:rPr>
        <w:noBreakHyphen/>
        <w:t>100 of the 1976 Code is amended to read: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9D7E0B">
        <w:rPr>
          <w:snapToGrid w:val="0"/>
        </w:rPr>
        <w:tab/>
        <w:t>“Section 23</w:t>
      </w:r>
      <w:r w:rsidRPr="009D7E0B">
        <w:rPr>
          <w:snapToGrid w:val="0"/>
        </w:rPr>
        <w:noBreakHyphen/>
        <w:t>23</w:t>
      </w:r>
      <w:r w:rsidRPr="009D7E0B">
        <w:rPr>
          <w:snapToGrid w:val="0"/>
        </w:rPr>
        <w:noBreakHyphen/>
        <w:t>100.</w:t>
      </w:r>
      <w:r w:rsidRPr="009D7E0B">
        <w:rPr>
          <w:snapToGrid w:val="0"/>
        </w:rPr>
        <w:tab/>
        <w:t>(A)</w:t>
      </w:r>
      <w:r w:rsidRPr="009D7E0B">
        <w:rPr>
          <w:snapToGrid w:val="0"/>
        </w:rPr>
        <w:tab/>
      </w:r>
      <w:r w:rsidRPr="009D7E0B">
        <w:rPr>
          <w:strike/>
          <w:snapToGrid w:val="0"/>
        </w:rPr>
        <w:t>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7E0B">
        <w:rPr>
          <w:snapToGrid w:val="0"/>
        </w:rPr>
        <w:tab/>
      </w:r>
      <w:r w:rsidRPr="009D7E0B">
        <w:rPr>
          <w:strike/>
          <w:snapToGrid w:val="0"/>
        </w:rPr>
        <w:t>(B)</w:t>
      </w:r>
      <w:r w:rsidRPr="00ED4927">
        <w:rPr>
          <w:snapToGrid w:val="0"/>
        </w:rPr>
        <w:tab/>
      </w:r>
      <w:r w:rsidRPr="009D7E0B">
        <w:rPr>
          <w:strike/>
          <w:snapToGrid w:val="0"/>
        </w:rPr>
        <w:t>Any public law enforcement agency which fails to comply with this chapter and regulations promulgated pursuant to this chapter or fails to comply with any order issued by the director is liable for a civil penalty not to exceed one thousand five hundred dollars a violation. When the civil penalty authorized by this subsection is imposed upon a sheriff, the sheriff is responsible for payment of this civil penalty.</w:t>
      </w:r>
      <w:r w:rsidRPr="009D7E0B">
        <w:rPr>
          <w:snapToGrid w:val="0"/>
        </w:rPr>
        <w:t xml:space="preserve"> </w:t>
      </w:r>
      <w:r w:rsidRPr="009D7E0B">
        <w:rPr>
          <w:snapToGrid w:val="0"/>
          <w:u w:val="single"/>
        </w:rPr>
        <w:t>All public law enforcement agencies are required to comply with the provisions of this chapter and the regulations promulg</w:t>
      </w:r>
      <w:r>
        <w:rPr>
          <w:snapToGrid w:val="0"/>
          <w:u w:val="single"/>
        </w:rPr>
        <w:t xml:space="preserve">ated pursuant to this chapter. </w:t>
      </w:r>
      <w:r w:rsidRPr="009D7E0B">
        <w:rPr>
          <w:snapToGrid w:val="0"/>
          <w:u w:val="single"/>
        </w:rPr>
        <w:t xml:space="preserve">Whenever the director finds that any public law enforcement agency is in violation of any provision of this chapter, or any regulation promulgated pursuant to this chapter, the director shall notify the public law enforcement agency of the violation and of the public law </w:t>
      </w:r>
      <w:r w:rsidRPr="009D7E0B">
        <w:rPr>
          <w:snapToGrid w:val="0"/>
          <w:u w:val="single"/>
        </w:rPr>
        <w:lastRenderedPageBreak/>
        <w:t>enforcement agency’s duty to comply with th</w:t>
      </w:r>
      <w:r>
        <w:rPr>
          <w:snapToGrid w:val="0"/>
          <w:u w:val="single"/>
        </w:rPr>
        <w:t xml:space="preserve">e provision and/or regulation. </w:t>
      </w:r>
      <w:r w:rsidRPr="009D7E0B">
        <w:rPr>
          <w:snapToGrid w:val="0"/>
          <w:u w:val="single"/>
        </w:rPr>
        <w:t>This notification shall be sent to the public law enforcement agency head via certified U</w:t>
      </w:r>
      <w:r w:rsidR="0045254F">
        <w:rPr>
          <w:snapToGrid w:val="0"/>
          <w:u w:val="single"/>
        </w:rPr>
        <w:t>.</w:t>
      </w:r>
      <w:r w:rsidRPr="009D7E0B">
        <w:rPr>
          <w:snapToGrid w:val="0"/>
          <w:u w:val="single"/>
        </w:rPr>
        <w:t>S</w:t>
      </w:r>
      <w:r w:rsidR="0045254F">
        <w:rPr>
          <w:snapToGrid w:val="0"/>
          <w:u w:val="single"/>
        </w:rPr>
        <w:t>.</w:t>
      </w:r>
      <w:r w:rsidRPr="009D7E0B">
        <w:rPr>
          <w:snapToGrid w:val="0"/>
          <w:u w:val="single"/>
        </w:rPr>
        <w:t xml:space="preserve"> Mail or delivered by hand. The agency </w:t>
      </w:r>
      <w:r>
        <w:rPr>
          <w:snapToGrid w:val="0"/>
          <w:u w:val="single"/>
        </w:rPr>
        <w:t>must</w:t>
      </w:r>
      <w:r w:rsidRPr="009D7E0B">
        <w:rPr>
          <w:snapToGrid w:val="0"/>
          <w:u w:val="single"/>
        </w:rPr>
        <w:t xml:space="preserve"> come into compliance within thirty days.</w:t>
      </w:r>
      <w:r>
        <w:rPr>
          <w:snapToGrid w:val="0"/>
        </w:rPr>
        <w:t xml:space="preserve">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7E0B">
        <w:rPr>
          <w:snapToGrid w:val="0"/>
        </w:rPr>
        <w:tab/>
      </w:r>
      <w:r w:rsidRPr="009D7E0B">
        <w:rPr>
          <w:snapToGrid w:val="0"/>
          <w:u w:val="single"/>
        </w:rPr>
        <w:t>(B)</w:t>
      </w:r>
      <w:r w:rsidRPr="009D7E0B">
        <w:rPr>
          <w:snapToGrid w:val="0"/>
        </w:rPr>
        <w:tab/>
      </w:r>
      <w:r w:rsidRPr="009D7E0B">
        <w:rPr>
          <w:snapToGrid w:val="0"/>
          <w:u w:val="single"/>
        </w:rPr>
        <w:t>If after thirty days the public law enforcement agency has failed to come into compliance, the director, at the direction of the council, shall issue an order requiring the public law enforcement agency to comply with the provision or regulation.  This order may include a civil penalty not to exceed one thousand dollars per violation per day the agency is not in compliance or is found in violation. Any public law enforcement agency against which a civil penalty is invoked by the director may appeal the decision to the court of common pleas of the county where the public law enforcement agency is located.</w:t>
      </w:r>
      <w:r w:rsidRPr="009D7E0B">
        <w:rPr>
          <w:snapToGrid w:val="0"/>
        </w:rPr>
        <w:t xml:space="preserve">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7E0B">
        <w:rPr>
          <w:snapToGrid w:val="0"/>
        </w:rPr>
        <w:tab/>
      </w:r>
      <w:r w:rsidRPr="009D7E0B">
        <w:rPr>
          <w:snapToGrid w:val="0"/>
          <w:u w:val="single"/>
        </w:rPr>
        <w:t>(C)</w:t>
      </w:r>
      <w:r w:rsidRPr="009D7E0B">
        <w:rPr>
          <w:snapToGrid w:val="0"/>
        </w:rPr>
        <w:tab/>
      </w:r>
      <w:r w:rsidRPr="009D7E0B">
        <w:rPr>
          <w:snapToGrid w:val="0"/>
          <w:u w:val="single"/>
        </w:rPr>
        <w:t>If the public law enforcement agency has failed to comply with the director’s order, the director shall either bring a civil action for injunctive relief or a civil enforcement action for failure to comply with the order in the court of common pleas of the county where the public law</w:t>
      </w:r>
      <w:r>
        <w:rPr>
          <w:snapToGrid w:val="0"/>
          <w:u w:val="single"/>
        </w:rPr>
        <w:t xml:space="preserve"> enforcement agency is located.</w:t>
      </w:r>
      <w:r w:rsidRPr="009D7E0B">
        <w:rPr>
          <w:snapToGrid w:val="0"/>
          <w:u w:val="single"/>
        </w:rPr>
        <w:t xml:space="preserve"> Violation of any court order issued pursuant to this section must be considered </w:t>
      </w:r>
      <w:r>
        <w:rPr>
          <w:snapToGrid w:val="0"/>
          <w:u w:val="single"/>
        </w:rPr>
        <w:t xml:space="preserve">in </w:t>
      </w:r>
      <w:r w:rsidRPr="009D7E0B">
        <w:rPr>
          <w:snapToGrid w:val="0"/>
          <w:u w:val="single"/>
        </w:rPr>
        <w:t>contempt of the issuing court and punishable as provided by law.</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u w:color="000000"/>
        </w:rPr>
      </w:pPr>
      <w:r w:rsidRPr="009D7E0B">
        <w:rPr>
          <w:snapToGrid w:val="0"/>
        </w:rPr>
        <w:tab/>
      </w:r>
      <w:r w:rsidRPr="009D7E0B">
        <w:rPr>
          <w:snapToGrid w:val="0"/>
          <w:u w:val="single"/>
        </w:rPr>
        <w:t>(D)</w:t>
      </w:r>
      <w:r w:rsidRPr="009D7E0B">
        <w:rPr>
          <w:snapToGrid w:val="0"/>
        </w:rPr>
        <w:tab/>
      </w:r>
      <w:r w:rsidRPr="009D7E0B">
        <w:rPr>
          <w:snapToGrid w:val="0"/>
          <w:u w:val="single"/>
        </w:rPr>
        <w:t xml:space="preserve">If the imposition of civil fines fails to bring a law enforcement agency into compliance with the provisions of this chapter, regulations promulgated pursuant to this chapter, or an order authorized in this chapter, the council is authorized to temporarily hold in abeyance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whose law enforcement certification has been held in abeyance by the council </w:t>
      </w:r>
      <w:r>
        <w:rPr>
          <w:snapToGrid w:val="0"/>
          <w:u w:val="single"/>
        </w:rPr>
        <w:t>is not</w:t>
      </w:r>
      <w:r w:rsidRPr="009D7E0B">
        <w:rPr>
          <w:snapToGrid w:val="0"/>
          <w:u w:val="single"/>
        </w:rPr>
        <w:t xml:space="preserve"> authorized to enforce the laws or ordinances of this State or any political subdivision thereof. An individual who has had his law enforcement certification held in abeyance as a result of a noncompliant law enforcement agency shall not be prohibited from regaining law enforcement certification if he is subsequently employed or appointed by a compliant law enforcement agency, provided he is otherwise qualified to be certified. Further, in the event the council holds law enforcement certifications in abeyance at a noncompliant law enforcement agency, no law enforcement officer shall go without his or her regular pay, compensation, and benefits. Any records for the certification hold for the individual officer must be expunged by the council within thirty days of the </w:t>
      </w:r>
      <w:r w:rsidRPr="009D7E0B">
        <w:rPr>
          <w:snapToGrid w:val="0"/>
          <w:u w:val="single"/>
        </w:rPr>
        <w:lastRenderedPageBreak/>
        <w:t>termination of the hold after full compliance by the agency or the employment by another agency.</w:t>
      </w:r>
      <w:r w:rsidRPr="009D7E0B">
        <w:rPr>
          <w:snapToGrid w:val="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7.</w:t>
      </w:r>
      <w:r w:rsidRPr="009D7E0B">
        <w:rPr>
          <w:rFonts w:eastAsia="Calibri"/>
          <w:u w:color="000000"/>
        </w:rPr>
        <w:tab/>
        <w:t>Section 23-23-60(B)(5) of the 1976 Code is amended to read: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D7E0B">
        <w:rPr>
          <w:rFonts w:eastAsia="Calibri"/>
          <w:lang w:val="en-PH"/>
        </w:rPr>
        <w:tab/>
      </w:r>
      <w:r w:rsidRPr="009D7E0B">
        <w:rPr>
          <w:rFonts w:eastAsia="Calibri"/>
          <w:lang w:val="en-PH"/>
        </w:rPr>
        <w:tab/>
        <w:t>“(5)</w:t>
      </w:r>
      <w:r w:rsidRPr="009D7E0B">
        <w:rPr>
          <w:rFonts w:eastAsia="Calibri"/>
          <w:lang w:val="en-PH"/>
        </w:rPr>
        <w:tab/>
        <w:t>evidence satisfactory to the director that the candidate is a person of good character. This evidence must include, but is not limited to:</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D7E0B">
        <w:rPr>
          <w:rFonts w:eastAsia="Calibri"/>
          <w:lang w:val="en-PH"/>
        </w:rPr>
        <w:tab/>
      </w:r>
      <w:r w:rsidRPr="009D7E0B">
        <w:rPr>
          <w:rFonts w:eastAsia="Calibri"/>
          <w:lang w:val="en-PH"/>
        </w:rPr>
        <w:tab/>
      </w:r>
      <w:r w:rsidRPr="009D7E0B">
        <w:rPr>
          <w:rFonts w:eastAsia="Calibri"/>
          <w:lang w:val="en-PH"/>
        </w:rPr>
        <w:tab/>
        <w:t>(a)</w:t>
      </w:r>
      <w:r w:rsidRPr="009D7E0B">
        <w:rPr>
          <w:rFonts w:eastAsia="Calibri"/>
          <w:lang w:val="en-PH"/>
        </w:rPr>
        <w:tab/>
        <w:t>certification by the candidate's employer that a background investigation has been conducted and the employer is of the opinion that the candidate is of good character;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D7E0B">
        <w:rPr>
          <w:rFonts w:eastAsia="Calibri"/>
          <w:lang w:val="en-PH"/>
        </w:rPr>
        <w:tab/>
      </w:r>
      <w:r w:rsidRPr="009D7E0B">
        <w:rPr>
          <w:rFonts w:eastAsia="Calibri"/>
          <w:lang w:val="en-PH"/>
        </w:rPr>
        <w:tab/>
      </w:r>
      <w:r w:rsidRPr="009D7E0B">
        <w:rPr>
          <w:rFonts w:eastAsia="Calibri"/>
          <w:lang w:val="en-PH"/>
        </w:rPr>
        <w:tab/>
        <w:t>(b)</w:t>
      </w:r>
      <w:r w:rsidRPr="009D7E0B">
        <w:rPr>
          <w:rFonts w:eastAsia="Calibri"/>
          <w:lang w:val="en-PH"/>
        </w:rPr>
        <w:tab/>
        <w:t>evidence satisfactory to the director that the candidate holds a valid current state driver's license with no record during the previous five years for suspension of driver's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driver's license issued by any jurisdiction of the United States;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D7E0B">
        <w:rPr>
          <w:rFonts w:eastAsia="Calibri"/>
          <w:lang w:val="en-PH"/>
        </w:rPr>
        <w:tab/>
      </w:r>
      <w:r w:rsidRPr="009D7E0B">
        <w:rPr>
          <w:rFonts w:eastAsia="Calibri"/>
          <w:lang w:val="en-PH"/>
        </w:rPr>
        <w:tab/>
      </w:r>
      <w:r w:rsidRPr="009D7E0B">
        <w:rPr>
          <w:rFonts w:eastAsia="Calibri"/>
          <w:lang w:val="en-PH"/>
        </w:rPr>
        <w:tab/>
        <w:t>(c)</w:t>
      </w:r>
      <w:r w:rsidRPr="009D7E0B">
        <w:rPr>
          <w:rFonts w:eastAsia="Calibri"/>
          <w:lang w:val="en-PH"/>
        </w:rPr>
        <w:tab/>
        <w:t>evidence satisfactory to the director that a local credit check has been made with favorable results;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lang w:val="en-PH"/>
        </w:rPr>
        <w:tab/>
      </w:r>
      <w:r w:rsidRPr="009D7E0B">
        <w:rPr>
          <w:rFonts w:eastAsia="Calibri"/>
          <w:lang w:val="en-PH"/>
        </w:rPr>
        <w:tab/>
      </w:r>
      <w:r w:rsidRPr="009D7E0B">
        <w:rPr>
          <w:rFonts w:eastAsia="Calibri"/>
          <w:lang w:val="en-PH"/>
        </w:rPr>
        <w:tab/>
        <w:t>(d)</w:t>
      </w:r>
      <w:r w:rsidRPr="009D7E0B">
        <w:rPr>
          <w:rFonts w:eastAsia="Calibri"/>
          <w:lang w:val="en-PH"/>
        </w:rPr>
        <w:tab/>
        <w:t>evidence satisfactory to the director that the candidate's fingerprint record as received from the Federal Bureau of Investigation and South Carolina Law Enforcement Division indicates no record of felony convictions</w:t>
      </w:r>
      <w:r w:rsidRPr="009D7E0B">
        <w:rPr>
          <w:rFonts w:eastAsia="Calibri"/>
          <w:u w:val="single"/>
          <w:lang w:val="en-PH"/>
        </w:rPr>
        <w:t xml:space="preserve">; </w:t>
      </w:r>
      <w:r w:rsidRPr="009D7E0B">
        <w:rPr>
          <w:rFonts w:eastAsia="Calibri"/>
          <w:u w:val="single" w:color="000000"/>
        </w:rPr>
        <w:t>and</w:t>
      </w:r>
      <w:r w:rsidRPr="009D7E0B">
        <w:rPr>
          <w:rFonts w:eastAsia="Calibri"/>
          <w:u w:color="000000"/>
        </w:rPr>
        <w:t xml:space="preserve">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7E0B">
        <w:rPr>
          <w:rFonts w:eastAsia="Calibri"/>
          <w:u w:color="000000"/>
        </w:rPr>
        <w:tab/>
      </w:r>
      <w:r w:rsidRPr="009D7E0B">
        <w:rPr>
          <w:rFonts w:eastAsia="Calibri"/>
          <w:u w:color="000000"/>
        </w:rPr>
        <w:tab/>
      </w:r>
      <w:r w:rsidRPr="009D7E0B">
        <w:rPr>
          <w:rFonts w:eastAsia="Calibri"/>
          <w:u w:color="000000"/>
        </w:rPr>
        <w:tab/>
      </w:r>
      <w:r w:rsidRPr="009D7E0B">
        <w:rPr>
          <w:rFonts w:eastAsia="Calibri"/>
          <w:u w:val="single" w:color="000000"/>
        </w:rPr>
        <w:t>(e)</w:t>
      </w:r>
      <w:r w:rsidRPr="009D7E0B">
        <w:rPr>
          <w:rFonts w:eastAsia="Calibri"/>
          <w:u w:color="000000"/>
        </w:rPr>
        <w:tab/>
      </w:r>
      <w:r w:rsidRPr="009D7E0B">
        <w:rPr>
          <w:rFonts w:eastAsia="Calibri"/>
          <w:u w:val="single" w:color="000000"/>
        </w:rPr>
        <w:t>evidence satisfactory to the director that the candidate has signed an attestation form committing to the practice of ethical policing, which means the discharge of responsibilities, stemming from employment as a law enforcement officer, which is devoid of misconduct and which is carried out in conformance with this chapter, including the duty to safeguard life and the duty to intervene</w:t>
      </w:r>
      <w:r w:rsidRPr="009D7E0B">
        <w:rPr>
          <w:rFonts w:eastAsia="Calibri"/>
          <w:u w:color="00000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lang w:val="en-PH"/>
        </w:rPr>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r w:rsidRPr="009D7E0B">
        <w:rPr>
          <w:rFonts w:eastAsia="Calibri"/>
          <w:u w:color="00000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8.</w:t>
      </w:r>
      <w:r w:rsidRPr="009D7E0B">
        <w:rPr>
          <w:rFonts w:eastAsia="Calibri"/>
          <w:u w:color="000000"/>
        </w:rPr>
        <w:tab/>
        <w:t>Section 16</w:t>
      </w:r>
      <w:r w:rsidRPr="009D7E0B">
        <w:rPr>
          <w:rFonts w:eastAsia="Calibri"/>
          <w:u w:color="000000"/>
        </w:rPr>
        <w:noBreakHyphen/>
        <w:t>23</w:t>
      </w:r>
      <w:r w:rsidRPr="009D7E0B">
        <w:rPr>
          <w:rFonts w:eastAsia="Calibri"/>
          <w:u w:color="000000"/>
        </w:rPr>
        <w:noBreakHyphen/>
        <w:t>20(1) of the 1976 Code is amended to read: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lastRenderedPageBreak/>
        <w:tab/>
        <w:t>“(1)</w:t>
      </w:r>
      <w:r w:rsidRPr="009D7E0B">
        <w:rPr>
          <w:rFonts w:eastAsia="Calibri"/>
          <w:u w:color="000000"/>
        </w:rPr>
        <w:tab/>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w:t>
      </w:r>
      <w:r w:rsidRPr="009D7E0B">
        <w:rPr>
          <w:rFonts w:eastAsia="Calibri"/>
          <w:strike/>
          <w:u w:color="000000"/>
        </w:rPr>
        <w:t>employed as private detectives or private investigators</w:t>
      </w:r>
      <w:r w:rsidRPr="009D7E0B">
        <w:rPr>
          <w:rFonts w:eastAsia="Calibri"/>
          <w:u w:color="00000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086773"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D7E0B">
        <w:rPr>
          <w:snapToGrid w:val="0"/>
        </w:rPr>
        <w:t>SECTION</w:t>
      </w:r>
      <w:r w:rsidRPr="009D7E0B">
        <w:rPr>
          <w:snapToGrid w:val="0"/>
        </w:rPr>
        <w:tab/>
        <w:t>9.</w:t>
      </w:r>
      <w:r w:rsidRPr="009D7E0B">
        <w:rPr>
          <w:snapToGrid w:val="0"/>
        </w:rPr>
        <w:tab/>
        <w:t>This act takes effect upon approval by the Governor; however, SECTION 4 and SECTION 5 take effect on January 1, 2023.</w:t>
      </w:r>
    </w:p>
    <w:p w:rsidR="00922ED1" w:rsidRPr="00086773" w:rsidRDefault="00D204B5"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CD1F03" w:rsidRDefault="00CD1F03" w:rsidP="00CD1F03">
      <w:pPr>
        <w:suppressAutoHyphens/>
      </w:pPr>
    </w:p>
    <w:sectPr w:rsidR="00CD1F03" w:rsidSect="005B38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50E" w:rsidRDefault="0072050E" w:rsidP="009F0C77">
      <w:r>
        <w:separator/>
      </w:r>
    </w:p>
  </w:endnote>
  <w:endnote w:type="continuationSeparator" w:id="0">
    <w:p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65BDAF-AE74-4845-BAA4-5372978720F7}"/>
    <w:embedBold r:id="rId2" w:fontKey="{FC06BCC7-6284-4470-86D9-831E9E9191D9}"/>
  </w:font>
  <w:font w:name="Calibri">
    <w:panose1 w:val="020F0502020204030204"/>
    <w:charset w:val="00"/>
    <w:family w:val="swiss"/>
    <w:pitch w:val="variable"/>
    <w:sig w:usb0="E4002EFF" w:usb1="C000247B" w:usb2="00000009" w:usb3="00000000" w:csb0="000001FF" w:csb1="00000000"/>
    <w:embedRegular r:id="rId3" w:fontKey="{9739F64A-0744-4CF4-A341-0E1349F5DA77}"/>
  </w:font>
  <w:font w:name="Segoe UI">
    <w:panose1 w:val="020B0502040204020203"/>
    <w:charset w:val="00"/>
    <w:family w:val="swiss"/>
    <w:pitch w:val="variable"/>
    <w:sig w:usb0="E4002EFF" w:usb1="C000E47F" w:usb2="00000009" w:usb3="00000000" w:csb0="000001FF" w:csb1="00000000"/>
    <w:embedRegular r:id="rId4" w:fontKey="{C2142CC8-F299-4B49-AFFD-76A51B11DB08}"/>
  </w:font>
  <w:font w:name="Cambria">
    <w:panose1 w:val="02040503050406030204"/>
    <w:charset w:val="00"/>
    <w:family w:val="roman"/>
    <w:pitch w:val="variable"/>
    <w:sig w:usb0="E00006FF" w:usb1="420024FF" w:usb2="02000000" w:usb3="00000000" w:csb0="0000019F" w:csb1="00000000"/>
    <w:embedRegular r:id="rId5" w:fontKey="{28610B96-448C-4DE7-B6F0-A00FD53642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D1" w:rsidRPr="00E1432D" w:rsidRDefault="00E1432D" w:rsidP="00E1432D">
    <w:pPr>
      <w:pStyle w:val="Footer"/>
      <w:tabs>
        <w:tab w:val="clear" w:pos="4680"/>
        <w:tab w:val="clear" w:pos="9360"/>
        <w:tab w:val="center" w:pos="2995"/>
      </w:tabs>
      <w:spacing w:before="120"/>
    </w:pPr>
    <w:r>
      <w:t>[3050</w:t>
    </w:r>
    <w:r w:rsidR="005B38EF">
      <w:t>-</w:t>
    </w:r>
    <w:r w:rsidR="005B38EF">
      <w:fldChar w:fldCharType="begin"/>
    </w:r>
    <w:r w:rsidR="005B38EF">
      <w:instrText xml:space="preserve"> PAGE  \* MERGEFORMAT </w:instrText>
    </w:r>
    <w:r w:rsidR="005B38EF">
      <w:fldChar w:fldCharType="separate"/>
    </w:r>
    <w:r w:rsidR="00CD1F03">
      <w:rPr>
        <w:noProof/>
      </w:rPr>
      <w:t>1</w:t>
    </w:r>
    <w:r w:rsidR="005B38EF">
      <w:fldChar w:fldCharType="end"/>
    </w:r>
    <w:r w:rsidR="005B38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8EF" w:rsidRPr="00E1432D" w:rsidRDefault="005B38EF"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CD1F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50E" w:rsidRDefault="0072050E" w:rsidP="009F0C77">
      <w:r>
        <w:separator/>
      </w:r>
    </w:p>
  </w:footnote>
  <w:footnote w:type="continuationSeparator" w:id="0">
    <w:p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86773"/>
    <w:rsid w:val="000E0100"/>
    <w:rsid w:val="000E1785"/>
    <w:rsid w:val="000F40FA"/>
    <w:rsid w:val="001035F1"/>
    <w:rsid w:val="0010776B"/>
    <w:rsid w:val="00133E66"/>
    <w:rsid w:val="001435A3"/>
    <w:rsid w:val="00146ED3"/>
    <w:rsid w:val="00151044"/>
    <w:rsid w:val="001D08F2"/>
    <w:rsid w:val="001D3A58"/>
    <w:rsid w:val="001D525B"/>
    <w:rsid w:val="001D7F4F"/>
    <w:rsid w:val="001E7E2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54F"/>
    <w:rsid w:val="00461441"/>
    <w:rsid w:val="004809EE"/>
    <w:rsid w:val="004B7CBE"/>
    <w:rsid w:val="004E7D54"/>
    <w:rsid w:val="005273C6"/>
    <w:rsid w:val="00530A69"/>
    <w:rsid w:val="00545593"/>
    <w:rsid w:val="00556EBF"/>
    <w:rsid w:val="00577C6C"/>
    <w:rsid w:val="005A62FE"/>
    <w:rsid w:val="005B38EF"/>
    <w:rsid w:val="005C2FE2"/>
    <w:rsid w:val="005E22DF"/>
    <w:rsid w:val="005E2BC9"/>
    <w:rsid w:val="00605102"/>
    <w:rsid w:val="0060684C"/>
    <w:rsid w:val="006215AA"/>
    <w:rsid w:val="006913C9"/>
    <w:rsid w:val="0069470D"/>
    <w:rsid w:val="006D58AA"/>
    <w:rsid w:val="006E4CAC"/>
    <w:rsid w:val="00704015"/>
    <w:rsid w:val="0072050E"/>
    <w:rsid w:val="00734F00"/>
    <w:rsid w:val="00736959"/>
    <w:rsid w:val="00763424"/>
    <w:rsid w:val="007A70AE"/>
    <w:rsid w:val="008362E8"/>
    <w:rsid w:val="0085786E"/>
    <w:rsid w:val="008A1768"/>
    <w:rsid w:val="008A489F"/>
    <w:rsid w:val="008F0F33"/>
    <w:rsid w:val="008F4429"/>
    <w:rsid w:val="00922ED1"/>
    <w:rsid w:val="0094021A"/>
    <w:rsid w:val="009A683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071"/>
    <w:rsid w:val="00B1166C"/>
    <w:rsid w:val="00B412D4"/>
    <w:rsid w:val="00B64FFF"/>
    <w:rsid w:val="00BB1A10"/>
    <w:rsid w:val="00BC3119"/>
    <w:rsid w:val="00BE3C22"/>
    <w:rsid w:val="00C0345E"/>
    <w:rsid w:val="00C21ABE"/>
    <w:rsid w:val="00C31C95"/>
    <w:rsid w:val="00C3483A"/>
    <w:rsid w:val="00C372DF"/>
    <w:rsid w:val="00C74E9D"/>
    <w:rsid w:val="00C826DD"/>
    <w:rsid w:val="00C82FD3"/>
    <w:rsid w:val="00C92819"/>
    <w:rsid w:val="00CA5FFE"/>
    <w:rsid w:val="00CC6B7B"/>
    <w:rsid w:val="00CD1F03"/>
    <w:rsid w:val="00CD2089"/>
    <w:rsid w:val="00CE1059"/>
    <w:rsid w:val="00CE4BCA"/>
    <w:rsid w:val="00D1301E"/>
    <w:rsid w:val="00D204B5"/>
    <w:rsid w:val="00D64ABF"/>
    <w:rsid w:val="00D73A67"/>
    <w:rsid w:val="00D970A9"/>
    <w:rsid w:val="00DF3845"/>
    <w:rsid w:val="00E1432D"/>
    <w:rsid w:val="00E41911"/>
    <w:rsid w:val="00E44B57"/>
    <w:rsid w:val="00E76F0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A0173"/>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E5654-8D34-4BD0-ABDE-010CFBF9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3433</Words>
  <Characters>18249</Characters>
  <Application>Microsoft Office Word</Application>
  <DocSecurity>0</DocSecurity>
  <Lines>416</Lines>
  <Paragraphs>81</Paragraphs>
  <ScaleCrop>false</ScaleCrop>
  <HeadingPairs>
    <vt:vector size="2" baseType="variant">
      <vt:variant>
        <vt:lpstr>Title</vt:lpstr>
      </vt:variant>
      <vt:variant>
        <vt:i4>1</vt:i4>
      </vt:variant>
    </vt:vector>
  </HeadingPairs>
  <TitlesOfParts>
    <vt:vector size="1" baseType="lpstr">
      <vt:lpstr>2021-2022 Bill 3050: Subject not yet available - South Carolina Legislature Online</vt:lpstr>
    </vt:vector>
  </TitlesOfParts>
  <Company>LPITS</Company>
  <LinksUpToDate>false</LinksUpToDate>
  <CharactersWithSpaces>21736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(May 4, 2022) - South Carolina Legislature Online</dc:title>
  <dc:creator>Gwen Thurmond</dc:creator>
  <cp:lastModifiedBy>Danny Crook</cp:lastModifiedBy>
  <cp:revision>2</cp:revision>
  <cp:lastPrinted>2022-04-20T20:26:00Z</cp:lastPrinted>
  <dcterms:created xsi:type="dcterms:W3CDTF">2022-05-04T15:34:00Z</dcterms:created>
  <dcterms:modified xsi:type="dcterms:W3CDTF">2022-05-04T15:34:00Z</dcterms:modified>
</cp:coreProperties>
</file>