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F73AC" w:rsidRP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 2021</w:t>
      </w:r>
    </w:p>
    <w:p w:rsidR="003F73AC" w:rsidRPr="003F73AC" w:rsidRDefault="003F73AC" w:rsidP="003F73AC">
      <w:pPr>
        <w:tabs>
          <w:tab w:val="right" w:pos="5933"/>
        </w:tabs>
        <w:suppressAutoHyphens/>
      </w:pPr>
      <w:r>
        <w:tab/>
      </w:r>
      <w:r>
        <w:rPr>
          <w:b/>
          <w:sz w:val="36"/>
        </w:rPr>
        <w:t>H. 3094</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AC"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Cox, White, Lucas, Burns, Jones, Allison, Caskey, Chumley, Collins, Crawford, Daning, Davis, Elliott, Erickson, Felder, Forrest, Fry, Gagnon, Gatch, Gilliam, Haddon, Hardee, Hewitt, Hiott, Hixon, Huggins, Jordan, Kimmons, Ligon, Long, Magnuson, McCravy, Morgan, Murphy, B. Newton, W. Newton, Nutt, Oremus, Pope,</w:t>
      </w:r>
      <w:r w:rsidR="00425369">
        <w:t xml:space="preserve"> Sandifer</w:t>
      </w:r>
      <w:r>
        <w:t xml:space="preserve"> Simrill, G.M. Smith, G.R. Smith, M.M. Smith, Stringer, Taylor, Thayer, Trantham, West, Whitmire, Willis, Wooten, Yow, McGarry, Bryant, V.S. Moss, T. Moore, McCabe, Hosey, W. Cox, Bailey, Lowe, Atkinson, J.E. Johnson, Br</w:t>
      </w:r>
      <w:r w:rsidR="00425369">
        <w:t xml:space="preserve">ittain, Bennett, Hyde, </w:t>
      </w:r>
      <w:r>
        <w:t>McGinnis</w:t>
      </w:r>
      <w:r w:rsidR="00425369">
        <w:t>, and Forrest</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AC" w:rsidRDefault="003F73AC" w:rsidP="00483957">
      <w:pPr>
        <w:tabs>
          <w:tab w:val="right" w:pos="5933"/>
        </w:tabs>
        <w:suppressAutoHyphens/>
      </w:pPr>
      <w:r>
        <w:t>S. Printed 3/3/21--H.</w:t>
      </w:r>
      <w:r w:rsidR="00483957">
        <w:tab/>
        <w:t>[SEC 3/4/21 2:28 PM]</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3F73AC" w:rsidRPr="003F73AC"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AC" w:rsidRPr="003F73AC"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3094) to amend Section 23</w:t>
      </w:r>
      <w:r>
        <w:noBreakHyphen/>
        <w:t>31</w:t>
      </w:r>
      <w:r>
        <w:noBreakHyphen/>
        <w:t>210, Code of Laws of South Carolina, 1976, relating to the issuance of concealed weapon permits, etc., respectfully</w:t>
      </w:r>
    </w:p>
    <w:p w:rsidR="003F73AC" w:rsidRPr="003F73AC"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082D">
        <w:t>Amend the bill, as and if amended, by adding the following appropriately numbered SECTIONS:</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082D">
        <w:t>/SECTION</w:t>
      </w:r>
      <w:r w:rsidRPr="0027082D">
        <w:tab/>
        <w:t>___.</w:t>
      </w:r>
      <w:r w:rsidRPr="0027082D">
        <w:tab/>
        <w:t>Section 23</w:t>
      </w:r>
      <w:r w:rsidRPr="0027082D">
        <w:noBreakHyphen/>
        <w:t>31</w:t>
      </w:r>
      <w:r w:rsidRPr="0027082D">
        <w:noBreakHyphen/>
        <w:t>220 of the 1976 Code is amended to read:</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tab/>
        <w:t>“</w:t>
      </w:r>
      <w:r w:rsidRPr="0027082D">
        <w:rPr>
          <w:lang w:val="en-PH"/>
        </w:rPr>
        <w:t>SECTION 23</w:t>
      </w:r>
      <w:r w:rsidRPr="0027082D">
        <w:rPr>
          <w:lang w:val="en-PH"/>
        </w:rPr>
        <w:noBreakHyphen/>
        <w:t>31</w:t>
      </w:r>
      <w:r w:rsidRPr="0027082D">
        <w:rPr>
          <w:lang w:val="en-PH"/>
        </w:rPr>
        <w:noBreakHyphen/>
        <w:t>220.</w:t>
      </w:r>
      <w:r w:rsidRPr="0027082D">
        <w:tab/>
      </w:r>
      <w:r w:rsidRPr="0027082D">
        <w:rPr>
          <w:lang w:val="en-PH"/>
        </w:rPr>
        <w:t>Nothing contained in this article shall in any way be construed to limit, diminish, or otherwise infringe upon:</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r>
      <w:r w:rsidRPr="0027082D">
        <w:rPr>
          <w:lang w:val="en-PH"/>
        </w:rPr>
        <w:tab/>
        <w:t xml:space="preserve">    (</w:t>
      </w:r>
      <w:bookmarkStart w:id="0" w:name="temp"/>
      <w:bookmarkEnd w:id="0"/>
      <w:r w:rsidRPr="0027082D">
        <w:rPr>
          <w:lang w:val="en-PH"/>
        </w:rPr>
        <w:t>1)</w:t>
      </w:r>
      <w:r w:rsidRPr="0027082D">
        <w:rPr>
          <w:lang w:val="en-PH"/>
        </w:rPr>
        <w:tab/>
        <w:t xml:space="preserve">the right of a public or private employer to prohibit a person who is licensed under this article from carrying a concealable </w:t>
      </w:r>
      <w:r w:rsidRPr="0027082D">
        <w:rPr>
          <w:u w:val="single"/>
          <w:lang w:val="en-PH"/>
        </w:rPr>
        <w:t>or open carry</w:t>
      </w:r>
      <w:r w:rsidRPr="0027082D">
        <w:rPr>
          <w:lang w:val="en-PH"/>
        </w:rPr>
        <w:t xml:space="preserve"> weapon upon the premises of the business or work place or while using any machinery, vehicle, or equipment owned or operated by the business;</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lastRenderedPageBreak/>
        <w:tab/>
      </w:r>
      <w:r w:rsidRPr="0027082D">
        <w:rPr>
          <w:lang w:val="en-PH"/>
        </w:rPr>
        <w:tab/>
        <w:t>(2)</w:t>
      </w:r>
      <w:r w:rsidRPr="0027082D">
        <w:rPr>
          <w:lang w:val="en-PH"/>
        </w:rPr>
        <w:tab/>
        <w:t xml:space="preserve">the right of a private property owner or person in legal possession or control to allow or prohibit the carrying of a concealable </w:t>
      </w:r>
      <w:r w:rsidRPr="0027082D">
        <w:rPr>
          <w:u w:val="single"/>
          <w:lang w:val="en-PH"/>
        </w:rPr>
        <w:t>or open carry</w:t>
      </w:r>
      <w:r w:rsidRPr="0027082D">
        <w:rPr>
          <w:lang w:val="en-PH"/>
        </w:rPr>
        <w:t xml:space="preserve"> weapon upon his premises.</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t xml:space="preserve">The posting by the employer, owner, or person in legal possession or control of a sign stating ‘No Concealable </w:t>
      </w:r>
      <w:r w:rsidRPr="0027082D">
        <w:rPr>
          <w:u w:val="single"/>
          <w:lang w:val="en-PH"/>
        </w:rPr>
        <w:t>or Open Carrying of</w:t>
      </w:r>
      <w:r w:rsidRPr="0027082D">
        <w:rPr>
          <w:lang w:val="en-PH"/>
        </w:rPr>
        <w:t xml:space="preserve"> Weapons Allowed’ shall constitute notice to a person holding a permit issued pursuant to this article that the employer, owner, or person in legal possession or control requests that concealable </w:t>
      </w:r>
      <w:r w:rsidRPr="0027082D">
        <w:rPr>
          <w:u w:val="single"/>
          <w:lang w:val="en-PH"/>
        </w:rPr>
        <w:t>or open carry</w:t>
      </w:r>
      <w:r w:rsidRPr="0027082D">
        <w:rPr>
          <w:lang w:val="en-PH"/>
        </w:rPr>
        <w:t xml:space="preserve"> weapons not be brought upon the premises or into the work place. A person who brings a concealable </w:t>
      </w:r>
      <w:r w:rsidRPr="0027082D">
        <w:rPr>
          <w:u w:val="single"/>
          <w:lang w:val="en-PH"/>
        </w:rPr>
        <w:t>or open carry</w:t>
      </w:r>
      <w:r w:rsidRPr="0027082D">
        <w:rPr>
          <w:lang w:val="en-PH"/>
        </w:rPr>
        <w:t xml:space="preserve"> weapon onto the premises or work place in violation of the provisions of this paragraph may be charged with a violation of Section 16</w:t>
      </w:r>
      <w:r w:rsidRPr="0027082D">
        <w:rPr>
          <w:lang w:val="en-PH"/>
        </w:rPr>
        <w:noBreakHyphen/>
        <w:t>11</w:t>
      </w:r>
      <w:r w:rsidRPr="0027082D">
        <w:rPr>
          <w:lang w:val="en-PH"/>
        </w:rPr>
        <w:noBreakHyphen/>
        <w:t>620. In addition to the penalties provided in Section 16</w:t>
      </w:r>
      <w:r w:rsidRPr="0027082D">
        <w:rPr>
          <w:lang w:val="en-PH"/>
        </w:rPr>
        <w:noBreakHyphen/>
        <w:t>11</w:t>
      </w:r>
      <w:r w:rsidRPr="0027082D">
        <w:rPr>
          <w:lang w:val="en-PH"/>
        </w:rPr>
        <w:noBreakHyphen/>
        <w:t>620, a person convicted of a second or subsequent violation of the provisions of this paragraph must have his permit revoked for a period of one year. The prohibition contained in this section does not apply to persons specified in Section 16</w:t>
      </w:r>
      <w:r w:rsidRPr="0027082D">
        <w:rPr>
          <w:lang w:val="en-PH"/>
        </w:rPr>
        <w:noBreakHyphen/>
        <w:t>23</w:t>
      </w:r>
      <w:r w:rsidRPr="0027082D">
        <w:rPr>
          <w:lang w:val="en-PH"/>
        </w:rPr>
        <w:noBreakHyphen/>
        <w:t>20, item (1).”</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27082D">
        <w:rPr>
          <w:lang w:val="en-PH"/>
        </w:rPr>
        <w:t>SECTION</w:t>
      </w:r>
      <w:r w:rsidRPr="0027082D">
        <w:rPr>
          <w:lang w:val="en-PH"/>
        </w:rPr>
        <w:tab/>
        <w:t>___.</w:t>
      </w:r>
      <w:r w:rsidRPr="0027082D">
        <w:rPr>
          <w:lang w:val="en-PH"/>
        </w:rPr>
        <w:tab/>
        <w:t>Section 23</w:t>
      </w:r>
      <w:r w:rsidRPr="0027082D">
        <w:rPr>
          <w:lang w:val="en-PH"/>
        </w:rPr>
        <w:noBreakHyphen/>
        <w:t>31</w:t>
      </w:r>
      <w:r w:rsidRPr="0027082D">
        <w:rPr>
          <w:lang w:val="en-PH"/>
        </w:rPr>
        <w:noBreakHyphen/>
        <w:t>235 of the 1976 Code is amended to read:</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t>“Section 23</w:t>
      </w:r>
      <w:r w:rsidRPr="0027082D">
        <w:rPr>
          <w:lang w:val="en-PH"/>
        </w:rPr>
        <w:noBreakHyphen/>
        <w:t>31</w:t>
      </w:r>
      <w:r w:rsidRPr="0027082D">
        <w:rPr>
          <w:lang w:val="en-PH"/>
        </w:rPr>
        <w:noBreakHyphen/>
        <w:t>235.</w:t>
      </w:r>
      <w:r w:rsidRPr="0027082D">
        <w:rPr>
          <w:lang w:val="en-PH"/>
        </w:rPr>
        <w:tab/>
        <w:t>(A)</w:t>
      </w:r>
      <w:r w:rsidRPr="0027082D">
        <w:rPr>
          <w:lang w:val="en-PH"/>
        </w:rPr>
        <w:tab/>
        <w:t xml:space="preserve">Notwithstanding any other provision of this article, any requirement of or allowance for the posting of signs prohibiting the carrying of a concealable </w:t>
      </w:r>
      <w:r w:rsidRPr="0027082D">
        <w:rPr>
          <w:u w:val="single"/>
          <w:lang w:val="en-PH"/>
        </w:rPr>
        <w:t>or open carry</w:t>
      </w:r>
      <w:r w:rsidRPr="0027082D">
        <w:rPr>
          <w:lang w:val="en-PH"/>
        </w:rPr>
        <w:t xml:space="preserve"> weapon upon any premises shall only be satisfied by a sign expressing the prohibition in both written language interdict and universal sign language.</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t xml:space="preserve">(B) All signs must be posted at each entrance into a building where a concealable </w:t>
      </w:r>
      <w:r w:rsidRPr="0027082D">
        <w:rPr>
          <w:u w:val="single"/>
          <w:lang w:val="en-PH"/>
        </w:rPr>
        <w:t>or open carry</w:t>
      </w:r>
      <w:r w:rsidRPr="0027082D">
        <w:rPr>
          <w:lang w:val="en-PH"/>
        </w:rPr>
        <w:t xml:space="preserve"> weapon permit holder is prohibited from carrying a concealable </w:t>
      </w:r>
      <w:r w:rsidRPr="0027082D">
        <w:rPr>
          <w:u w:val="single"/>
          <w:lang w:val="en-PH"/>
        </w:rPr>
        <w:t>or open carry</w:t>
      </w:r>
      <w:r w:rsidRPr="0027082D">
        <w:rPr>
          <w:lang w:val="en-PH"/>
        </w:rPr>
        <w:t xml:space="preserve"> weapon and must be:</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r>
      <w:r w:rsidRPr="0027082D">
        <w:rPr>
          <w:lang w:val="en-PH"/>
        </w:rPr>
        <w:tab/>
        <w:t>(1)</w:t>
      </w:r>
      <w:r w:rsidRPr="0027082D">
        <w:rPr>
          <w:lang w:val="en-PH"/>
        </w:rPr>
        <w:tab/>
        <w:t>clearly visible from outside the building;</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r>
      <w:r w:rsidRPr="0027082D">
        <w:rPr>
          <w:lang w:val="en-PH"/>
        </w:rPr>
        <w:tab/>
        <w:t>(2)</w:t>
      </w:r>
      <w:r w:rsidRPr="0027082D">
        <w:rPr>
          <w:lang w:val="en-PH"/>
        </w:rPr>
        <w:tab/>
        <w:t>eight inches wide by twelve inches tall in size;</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r>
      <w:r w:rsidRPr="0027082D">
        <w:rPr>
          <w:lang w:val="en-PH"/>
        </w:rPr>
        <w:tab/>
        <w:t>(3)</w:t>
      </w:r>
      <w:r w:rsidRPr="0027082D">
        <w:rPr>
          <w:lang w:val="en-PH"/>
        </w:rPr>
        <w:tab/>
        <w:t xml:space="preserve">contain the words ‘NO CONCEALABLE </w:t>
      </w:r>
      <w:r w:rsidRPr="0027082D">
        <w:rPr>
          <w:u w:val="single"/>
          <w:lang w:val="en-PH"/>
        </w:rPr>
        <w:t>OR OPEN CARRYING OF</w:t>
      </w:r>
      <w:r w:rsidRPr="0027082D">
        <w:rPr>
          <w:lang w:val="en-PH"/>
        </w:rPr>
        <w:t xml:space="preserve"> WEAPONS ALLOWED’ in black one</w:t>
      </w:r>
      <w:r w:rsidRPr="0027082D">
        <w:rPr>
          <w:lang w:val="en-PH"/>
        </w:rPr>
        <w:noBreakHyphen/>
        <w:t>inch tall uppercase type at the bottom of the sign and centered between the lateral edges of the sign;</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r>
      <w:r w:rsidRPr="0027082D">
        <w:rPr>
          <w:lang w:val="en-PH"/>
        </w:rPr>
        <w:tab/>
        <w:t>(4)</w:t>
      </w:r>
      <w:r w:rsidRPr="0027082D">
        <w:rPr>
          <w:lang w:val="en-PH"/>
        </w:rPr>
        <w:tab/>
        <w:t>contain a black silhouette of a handgun inside a circle seven inches in diameter with a diagonal line that runs from the lower left to the upper right at a forty</w:t>
      </w:r>
      <w:r w:rsidRPr="0027082D">
        <w:rPr>
          <w:lang w:val="en-PH"/>
        </w:rPr>
        <w:noBreakHyphen/>
        <w:t>five degree angle from the horizontal;</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r>
      <w:r w:rsidRPr="0027082D">
        <w:rPr>
          <w:lang w:val="en-PH"/>
        </w:rPr>
        <w:tab/>
        <w:t>(5)</w:t>
      </w:r>
      <w:r w:rsidRPr="0027082D">
        <w:rPr>
          <w:lang w:val="en-PH"/>
        </w:rPr>
        <w:tab/>
        <w:t>a diameter of a circle; and</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r>
      <w:r w:rsidRPr="0027082D">
        <w:rPr>
          <w:lang w:val="en-PH"/>
        </w:rPr>
        <w:tab/>
        <w:t>(6)</w:t>
      </w:r>
      <w:r w:rsidRPr="0027082D">
        <w:rPr>
          <w:lang w:val="en-PH"/>
        </w:rPr>
        <w:tab/>
        <w:t>placed not less than forty inches and not more than sixty inches from the bottom of the building’s entrance door.</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lastRenderedPageBreak/>
        <w:tab/>
        <w:t>(C)</w:t>
      </w:r>
      <w:r w:rsidRPr="0027082D">
        <w:rPr>
          <w:lang w:val="en-PH"/>
        </w:rPr>
        <w:tab/>
        <w:t>If the premises where concealable weapons are prohibited does not have doors, then the signs contained in subsection (A) must be:</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r>
      <w:r w:rsidRPr="0027082D">
        <w:rPr>
          <w:lang w:val="en-PH"/>
        </w:rPr>
        <w:tab/>
        <w:t>(1)</w:t>
      </w:r>
      <w:r w:rsidRPr="0027082D">
        <w:rPr>
          <w:lang w:val="en-PH"/>
        </w:rPr>
        <w:tab/>
        <w:t>thirty</w:t>
      </w:r>
      <w:r w:rsidRPr="0027082D">
        <w:rPr>
          <w:lang w:val="en-PH"/>
        </w:rPr>
        <w:noBreakHyphen/>
        <w:t>six inches wide by forty</w:t>
      </w:r>
      <w:r w:rsidRPr="0027082D">
        <w:rPr>
          <w:lang w:val="en-PH"/>
        </w:rPr>
        <w:noBreakHyphen/>
        <w:t>eight inches tall in size;</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r>
      <w:r w:rsidRPr="0027082D">
        <w:rPr>
          <w:lang w:val="en-PH"/>
        </w:rPr>
        <w:tab/>
        <w:t>(2)</w:t>
      </w:r>
      <w:r w:rsidRPr="0027082D">
        <w:rPr>
          <w:lang w:val="en-PH"/>
        </w:rPr>
        <w:tab/>
        <w:t xml:space="preserve">contain the words ‘NO CONCEALABLE </w:t>
      </w:r>
      <w:r w:rsidRPr="0027082D">
        <w:rPr>
          <w:u w:val="single"/>
          <w:lang w:val="en-PH"/>
        </w:rPr>
        <w:t>OR OPEN CARRYING OF</w:t>
      </w:r>
      <w:r w:rsidRPr="0027082D">
        <w:rPr>
          <w:lang w:val="en-PH"/>
        </w:rPr>
        <w:t xml:space="preserve"> WEAPONS ALLOWED’ in black three</w:t>
      </w:r>
      <w:r w:rsidRPr="0027082D">
        <w:rPr>
          <w:lang w:val="en-PH"/>
        </w:rPr>
        <w:noBreakHyphen/>
        <w:t xml:space="preserve"> inch tall uppercase type at the bottom of the sign and centered between the lateral edges of the sign;</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r>
      <w:r w:rsidRPr="0027082D">
        <w:rPr>
          <w:lang w:val="en-PH"/>
        </w:rPr>
        <w:tab/>
        <w:t>(3)</w:t>
      </w:r>
      <w:r w:rsidRPr="0027082D">
        <w:rPr>
          <w:lang w:val="en-PH"/>
        </w:rPr>
        <w:tab/>
        <w:t>contain a black silhouette of a handgun inside a circle thirty</w:t>
      </w:r>
      <w:r w:rsidRPr="0027082D">
        <w:rPr>
          <w:lang w:val="en-PH"/>
        </w:rPr>
        <w:noBreakHyphen/>
        <w:t>four inches in diameter with a diagonal line that is two inches wide and runs from the lower left to the upper right at a forty</w:t>
      </w:r>
      <w:r w:rsidRPr="0027082D">
        <w:rPr>
          <w:lang w:val="en-PH"/>
        </w:rPr>
        <w:noBreakHyphen/>
        <w:t>five degree angle from the horizontal and must be a diameter of a circle whose circumference is two inches wide;</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r>
      <w:r w:rsidRPr="0027082D">
        <w:rPr>
          <w:lang w:val="en-PH"/>
        </w:rPr>
        <w:tab/>
        <w:t>(4)</w:t>
      </w:r>
      <w:r w:rsidRPr="0027082D">
        <w:rPr>
          <w:lang w:val="en-PH"/>
        </w:rPr>
        <w:tab/>
        <w:t>placed not less than forty inches and not more than ninety</w:t>
      </w:r>
      <w:r w:rsidRPr="0027082D">
        <w:rPr>
          <w:lang w:val="en-PH"/>
        </w:rPr>
        <w:noBreakHyphen/>
        <w:t>six inches above the ground;</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7082D">
        <w:rPr>
          <w:lang w:val="en-PH"/>
        </w:rPr>
        <w:tab/>
      </w:r>
      <w:r w:rsidRPr="0027082D">
        <w:rPr>
          <w:lang w:val="en-PH"/>
        </w:rPr>
        <w:tab/>
        <w:t>(5)</w:t>
      </w:r>
      <w:r w:rsidRPr="0027082D">
        <w:rPr>
          <w:lang w:val="en-PH"/>
        </w:rPr>
        <w:tab/>
        <w:t>posted in sufficient quantities to be clearly visible from any point of entry onto the premises.”   /</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082D">
        <w:t>Renumber sections to conform.</w:t>
      </w:r>
    </w:p>
    <w:p w:rsidR="003F73AC"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7082D">
        <w:t>Amend title to conform.</w:t>
      </w:r>
    </w:p>
    <w:p w:rsidR="003F73AC" w:rsidRPr="0027082D"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CHRIS MURPHY for Committee.</w:t>
      </w:r>
    </w:p>
    <w:p w:rsidR="003F73AC" w:rsidRPr="003F73AC" w:rsidRDefault="003F73AC" w:rsidP="003F7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73AC" w:rsidSect="003F73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3A57" w:rsidRDefault="00513A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3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B3A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54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23</w:t>
      </w:r>
      <w:r w:rsidR="007A6078">
        <w:noBreakHyphen/>
      </w:r>
      <w:r>
        <w:t>31</w:t>
      </w:r>
      <w:r w:rsidR="007A6078">
        <w:noBreakHyphen/>
      </w:r>
      <w:r>
        <w:t xml:space="preserve">210, CODE OF LAWS OF SOUTH CAROLINA, 1976, RELATING TO THE ISSUANCE OF CONCEALED WEAPON PERMITS, SO AS TO </w:t>
      </w:r>
      <w:r w:rsidR="00A8092A">
        <w:t xml:space="preserve">ENACT THE </w:t>
      </w:r>
      <w:r w:rsidR="007A6078">
        <w:t>“</w:t>
      </w:r>
      <w:r w:rsidR="00D56A95">
        <w:t xml:space="preserve">OPEN CARRY </w:t>
      </w:r>
      <w:r w:rsidR="00A8092A">
        <w:t xml:space="preserve">WITH </w:t>
      </w:r>
      <w:r w:rsidR="00D56A95">
        <w:t>TRAINING ACT” BY REVISING</w:t>
      </w:r>
      <w:r>
        <w:t xml:space="preserve"> THE DEFINITION OF THE TERM “CONCEALABLE WEAPON” TO ALLOW A PERMIT HOLDER TO CARRY A CONCEALABLE WEAPON OPENLY </w:t>
      </w:r>
      <w:r w:rsidR="007A6078">
        <w:t>ON</w:t>
      </w:r>
      <w:r>
        <w:t xml:space="preserve"> HIS PERSON</w:t>
      </w:r>
      <w:r w:rsidR="00E26929">
        <w:t>; AND TO AMEND SECTION 16</w:t>
      </w:r>
      <w:r w:rsidR="007A6078">
        <w:noBreakHyphen/>
      </w:r>
      <w:r w:rsidR="00E26929">
        <w:t>23</w:t>
      </w:r>
      <w:r w:rsidR="007A6078">
        <w:noBreakHyphen/>
      </w:r>
      <w:r w:rsidR="00E26929">
        <w:t>20, RELATING TO THE CARRYING OF A HANDGUN, SO AS T</w:t>
      </w:r>
      <w:r w:rsidR="00F83F95">
        <w:t>O PROVIDE A PERSON WHO POSSESSES</w:t>
      </w:r>
      <w:r w:rsidR="00E26929">
        <w:t xml:space="preserve"> A CONCEALED WEAPON PERMIT MAY CARRY IT OPENLY ON OR ABOUT HIS PERSON</w:t>
      </w:r>
      <w:r w:rsidR="00263395">
        <w:t xml:space="preserve"> IN A VEHICLE</w:t>
      </w:r>
      <w: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B3A53" w:rsidRDefault="003B3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3A53" w:rsidRDefault="003B3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A95" w:rsidRDefault="00D56A95"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w:t>
      </w:r>
      <w:r w:rsidR="00D8739D">
        <w:t xml:space="preserve">act </w:t>
      </w:r>
      <w:r w:rsidR="007A6078">
        <w:t>may be cited as t</w:t>
      </w:r>
      <w:r w:rsidR="00A8092A">
        <w:t xml:space="preserve">he </w:t>
      </w:r>
      <w:r w:rsidR="007A6078">
        <w:t>“</w:t>
      </w:r>
      <w:r>
        <w:t xml:space="preserve">Open Carry </w:t>
      </w:r>
      <w:r w:rsidR="00A8092A">
        <w:t xml:space="preserve">With </w:t>
      </w:r>
      <w:r>
        <w:t>Training Act”.</w:t>
      </w:r>
    </w:p>
    <w:p w:rsidR="00D56A95" w:rsidRDefault="00D56A95"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6A95">
        <w:t>2</w:t>
      </w:r>
      <w:r>
        <w:t>.</w:t>
      </w:r>
      <w:r>
        <w:tab/>
        <w:t>Section 23</w:t>
      </w:r>
      <w:r w:rsidR="007A6078">
        <w:noBreakHyphen/>
      </w:r>
      <w:r>
        <w:t>31</w:t>
      </w:r>
      <w:r w:rsidR="007A6078">
        <w:noBreakHyphen/>
      </w:r>
      <w:r>
        <w:t>210(5) of the 1976 Code is amended to read:</w:t>
      </w: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A639A">
        <w:t>(5)</w:t>
      </w:r>
      <w:r>
        <w:tab/>
      </w:r>
      <w:r w:rsidR="007A6078" w:rsidRPr="007A6078">
        <w:t>‘</w:t>
      </w:r>
      <w:r w:rsidRPr="001A639A">
        <w:t>Concealable weapon</w:t>
      </w:r>
      <w:r w:rsidR="007A6078" w:rsidRPr="007A6078">
        <w:t>’</w:t>
      </w:r>
      <w:r w:rsidRPr="001A639A">
        <w:t xml:space="preserve"> means a firearm having a length of less than twelve inches measured along its greatest dimension that </w:t>
      </w:r>
      <w:r w:rsidRPr="005D5F18">
        <w:rPr>
          <w:strike/>
        </w:rPr>
        <w:t>must</w:t>
      </w:r>
      <w:r>
        <w:t xml:space="preserve"> </w:t>
      </w:r>
      <w:r>
        <w:rPr>
          <w:u w:val="single"/>
        </w:rPr>
        <w:t>may</w:t>
      </w:r>
      <w:r w:rsidRPr="001A639A">
        <w:t xml:space="preserve"> be carried </w:t>
      </w:r>
      <w:r w:rsidR="007A6078">
        <w:rPr>
          <w:u w:val="single"/>
        </w:rPr>
        <w:t>openly on</w:t>
      </w:r>
      <w:r w:rsidR="00E26929">
        <w:rPr>
          <w:u w:val="single"/>
        </w:rPr>
        <w:t xml:space="preserve"> one</w:t>
      </w:r>
      <w:r w:rsidR="007A6078" w:rsidRPr="007A6078">
        <w:rPr>
          <w:u w:val="single"/>
        </w:rPr>
        <w:t>’</w:t>
      </w:r>
      <w:r w:rsidR="00E26929">
        <w:rPr>
          <w:u w:val="single"/>
        </w:rPr>
        <w:t>s person or</w:t>
      </w:r>
      <w:r w:rsidR="00E26929">
        <w:t xml:space="preserve"> </w:t>
      </w:r>
      <w:r w:rsidRPr="001A639A">
        <w:t>in a manner that is hidden from public view in normal wear of clothing except when needed for self</w:t>
      </w:r>
      <w:r w:rsidR="007A6078">
        <w:noBreakHyphen/>
      </w:r>
      <w:r w:rsidRPr="001A639A">
        <w:t>defense, defense of others, and the protection of real or personal property.</w:t>
      </w:r>
      <w:r>
        <w:t>”</w:t>
      </w: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29" w:rsidRDefault="00E26929"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7A6078">
        <w:noBreakHyphen/>
      </w:r>
      <w:r>
        <w:t>23</w:t>
      </w:r>
      <w:r w:rsidR="007A6078">
        <w:noBreakHyphen/>
      </w:r>
      <w:r>
        <w:t>20(9) of the 1976 Code is amended to read:</w:t>
      </w:r>
    </w:p>
    <w:p w:rsidR="00E26929" w:rsidRDefault="00E26929" w:rsidP="006F7A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“(9)</w:t>
      </w:r>
      <w:r>
        <w:tab/>
      </w:r>
      <w:r w:rsidRPr="00264AF2">
        <w:t>a person in a vehicle if the handgun is:</w:t>
      </w:r>
    </w:p>
    <w:p w:rsidR="00E26929" w:rsidRDefault="00E26929" w:rsidP="006F7A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264AF2">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7A6078" w:rsidRPr="007A6078">
        <w:t>’</w:t>
      </w:r>
      <w:r w:rsidRPr="00264AF2">
        <w:t>s license, registration, or proof of insurance. If the person has been issued a concealed weapon permit pursuant to Article 4, Chapter 31, Title 23, then the person also may secure his weapon under a seat in a vehicle, or in any open or closed storage compartment within the vehicle</w:t>
      </w:r>
      <w:r w:rsidR="007A6078" w:rsidRPr="007A6078">
        <w:t>’</w:t>
      </w:r>
      <w:r w:rsidRPr="00264AF2">
        <w:t>s passenger compartment; or</w:t>
      </w:r>
    </w:p>
    <w:p w:rsidR="00E26929" w:rsidRDefault="00E26929" w:rsidP="00E26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E26929">
        <w:rPr>
          <w:u w:val="single"/>
        </w:rPr>
        <w:t>carried openl</w:t>
      </w:r>
      <w:r>
        <w:rPr>
          <w:u w:val="single"/>
        </w:rPr>
        <w:t>y or</w:t>
      </w:r>
      <w:r>
        <w:t xml:space="preserve"> </w:t>
      </w:r>
      <w:r w:rsidRPr="00264AF2">
        <w:t>concealed on or about his person, and he has a valid concealed weapons permit pursuant to the provisions of Article 4, Chapter 31, Title 23;</w:t>
      </w:r>
      <w:r>
        <w:t>”</w:t>
      </w:r>
    </w:p>
    <w:p w:rsidR="00E26929" w:rsidRDefault="00E26929" w:rsidP="00E26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A53"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6929">
        <w:t>4</w:t>
      </w:r>
      <w:r>
        <w:t>.</w:t>
      </w:r>
      <w:r>
        <w:tab/>
        <w:t xml:space="preserve">This act takes effect </w:t>
      </w:r>
      <w:r w:rsidR="009802F1">
        <w:t>sixty days after</w:t>
      </w:r>
      <w:r>
        <w:t xml:space="preserve"> approval by the Governor.</w:t>
      </w:r>
    </w:p>
    <w:p w:rsidR="0090691D" w:rsidRDefault="007A6078" w:rsidP="00957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736D" w:rsidRDefault="00E9736D" w:rsidP="00E9736D">
      <w:pPr>
        <w:suppressAutoHyphens/>
      </w:pPr>
    </w:p>
    <w:sectPr w:rsidR="00E9736D" w:rsidSect="003F73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3A53" w:rsidRDefault="003B3A53" w:rsidP="009F0C77">
      <w:r>
        <w:separator/>
      </w:r>
    </w:p>
  </w:endnote>
  <w:endnote w:type="continuationSeparator" w:id="0">
    <w:p w:rsidR="003B3A53" w:rsidRDefault="003B3A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2EFDE41-03CF-4DC4-AC3A-68D1B9F698B1}"/>
    <w:embedBold r:id="rId2" w:fontKey="{8A98C432-A7D4-4A30-97CA-D924A6CD754A}"/>
  </w:font>
  <w:font w:name="Calibri">
    <w:panose1 w:val="020F0502020204030204"/>
    <w:charset w:val="00"/>
    <w:family w:val="swiss"/>
    <w:pitch w:val="variable"/>
    <w:sig w:usb0="E0002EFF" w:usb1="C000247B" w:usb2="00000009" w:usb3="00000000" w:csb0="000001FF" w:csb1="00000000"/>
    <w:embedRegular r:id="rId3" w:fontKey="{410965EB-7777-4DC8-99CB-4F4A380E5AF7}"/>
  </w:font>
  <w:font w:name="Segoe UI">
    <w:panose1 w:val="020B0502040204020203"/>
    <w:charset w:val="00"/>
    <w:family w:val="swiss"/>
    <w:pitch w:val="variable"/>
    <w:sig w:usb0="E4002EFF" w:usb1="C000E47F" w:usb2="00000009" w:usb3="00000000" w:csb0="000001FF" w:csb1="00000000"/>
    <w:embedRegular r:id="rId4" w:fontKey="{CEAF41AA-09B4-4C9E-B811-C8281B6F00B7}"/>
  </w:font>
  <w:font w:name="Cambria">
    <w:panose1 w:val="02040503050406030204"/>
    <w:charset w:val="00"/>
    <w:family w:val="roman"/>
    <w:pitch w:val="variable"/>
    <w:sig w:usb0="E00006FF" w:usb1="420024FF" w:usb2="02000000" w:usb3="00000000" w:csb0="0000019F" w:csb1="00000000"/>
    <w:embedRegular r:id="rId5" w:fontKey="{F6E4292B-41B2-43BB-B1F2-70921D9B3A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91D" w:rsidRPr="00513A57" w:rsidRDefault="00513A57" w:rsidP="00513A57">
    <w:pPr>
      <w:pStyle w:val="Footer"/>
      <w:tabs>
        <w:tab w:val="clear" w:pos="4680"/>
        <w:tab w:val="clear" w:pos="9360"/>
        <w:tab w:val="center" w:pos="2995"/>
      </w:tabs>
      <w:spacing w:before="120"/>
    </w:pPr>
    <w:r>
      <w:t>[3094</w:t>
    </w:r>
    <w:r w:rsidR="003F73AC">
      <w:t>-</w:t>
    </w:r>
    <w:r w:rsidR="003F73AC">
      <w:fldChar w:fldCharType="begin"/>
    </w:r>
    <w:r w:rsidR="003F73AC">
      <w:instrText xml:space="preserve"> PAGE  \* MERGEFORMAT </w:instrText>
    </w:r>
    <w:r w:rsidR="003F73AC">
      <w:fldChar w:fldCharType="separate"/>
    </w:r>
    <w:r w:rsidR="00E9736D">
      <w:rPr>
        <w:noProof/>
      </w:rPr>
      <w:t>3</w:t>
    </w:r>
    <w:r w:rsidR="003F73AC">
      <w:fldChar w:fldCharType="end"/>
    </w:r>
    <w:r w:rsidR="003F73A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3AC" w:rsidRPr="00513A57" w:rsidRDefault="003F73AC" w:rsidP="00513A57">
    <w:pPr>
      <w:pStyle w:val="Footer"/>
      <w:tabs>
        <w:tab w:val="clear" w:pos="4680"/>
        <w:tab w:val="clear" w:pos="9360"/>
        <w:tab w:val="center" w:pos="2995"/>
      </w:tabs>
      <w:spacing w:before="120"/>
    </w:pPr>
    <w:r>
      <w:t>[3094]</w:t>
    </w:r>
    <w:r>
      <w:tab/>
    </w:r>
    <w:r>
      <w:fldChar w:fldCharType="begin"/>
    </w:r>
    <w:r>
      <w:instrText xml:space="preserve"> PAGE  \* MERGEFORMAT </w:instrText>
    </w:r>
    <w:r>
      <w:fldChar w:fldCharType="separate"/>
    </w:r>
    <w:r w:rsidR="00E9736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3A53" w:rsidRDefault="003B3A53" w:rsidP="009F0C77">
      <w:r>
        <w:separator/>
      </w:r>
    </w:p>
  </w:footnote>
  <w:footnote w:type="continuationSeparator" w:id="0">
    <w:p w:rsidR="003B3A53" w:rsidRDefault="003B3A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58CM21"/>
    <w:docVar w:name="CoverBillType" w:val="b"/>
    <w:docVar w:name="DocPath" w:val="L:\Council\bills\GT\5858CM21.DOCX"/>
    <w:docVar w:name="dvBillNumber" w:val="3094"/>
    <w:docVar w:name="dvBillNumberPrefix" w:val="H. "/>
    <w:docVar w:name="dvOriginalBody" w:val="House"/>
    <w:docVar w:name="dvSteno" w:val="GT"/>
    <w:docVar w:name="NameofBody" w:val="h"/>
    <w:docVar w:name="vGroup2" w:val="Council"/>
  </w:docVars>
  <w:rsids>
    <w:rsidRoot w:val="003B3A53"/>
    <w:rsid w:val="00011869"/>
    <w:rsid w:val="00015CD6"/>
    <w:rsid w:val="000958EC"/>
    <w:rsid w:val="000B7BC1"/>
    <w:rsid w:val="000E0100"/>
    <w:rsid w:val="000E1785"/>
    <w:rsid w:val="000F40FA"/>
    <w:rsid w:val="001035F1"/>
    <w:rsid w:val="0010776B"/>
    <w:rsid w:val="00133E66"/>
    <w:rsid w:val="001435A3"/>
    <w:rsid w:val="00145157"/>
    <w:rsid w:val="00146ED3"/>
    <w:rsid w:val="00151044"/>
    <w:rsid w:val="001D08F2"/>
    <w:rsid w:val="001D3A58"/>
    <w:rsid w:val="001D525B"/>
    <w:rsid w:val="001D7F4F"/>
    <w:rsid w:val="001E453E"/>
    <w:rsid w:val="00205238"/>
    <w:rsid w:val="002321B6"/>
    <w:rsid w:val="00232912"/>
    <w:rsid w:val="00250967"/>
    <w:rsid w:val="002543C8"/>
    <w:rsid w:val="0025541D"/>
    <w:rsid w:val="00263395"/>
    <w:rsid w:val="00284AAE"/>
    <w:rsid w:val="002E5912"/>
    <w:rsid w:val="00301B21"/>
    <w:rsid w:val="00313368"/>
    <w:rsid w:val="00325348"/>
    <w:rsid w:val="0032732C"/>
    <w:rsid w:val="00336AD0"/>
    <w:rsid w:val="0037079A"/>
    <w:rsid w:val="003B3A53"/>
    <w:rsid w:val="003C4DAB"/>
    <w:rsid w:val="003D01E8"/>
    <w:rsid w:val="003E5288"/>
    <w:rsid w:val="003F6D79"/>
    <w:rsid w:val="003F73AC"/>
    <w:rsid w:val="0041760A"/>
    <w:rsid w:val="00417C01"/>
    <w:rsid w:val="00424C0D"/>
    <w:rsid w:val="00425369"/>
    <w:rsid w:val="004403BD"/>
    <w:rsid w:val="00461441"/>
    <w:rsid w:val="004809EE"/>
    <w:rsid w:val="00483957"/>
    <w:rsid w:val="004C5F08"/>
    <w:rsid w:val="004E7D54"/>
    <w:rsid w:val="004F7677"/>
    <w:rsid w:val="00513A57"/>
    <w:rsid w:val="005273C6"/>
    <w:rsid w:val="00530A69"/>
    <w:rsid w:val="005428B8"/>
    <w:rsid w:val="00545593"/>
    <w:rsid w:val="00556EBF"/>
    <w:rsid w:val="00577C6C"/>
    <w:rsid w:val="005A62FE"/>
    <w:rsid w:val="005C2FE2"/>
    <w:rsid w:val="005E2BC9"/>
    <w:rsid w:val="00605102"/>
    <w:rsid w:val="006215AA"/>
    <w:rsid w:val="00622342"/>
    <w:rsid w:val="006913C9"/>
    <w:rsid w:val="006924E2"/>
    <w:rsid w:val="0069470D"/>
    <w:rsid w:val="006A1037"/>
    <w:rsid w:val="006D58AA"/>
    <w:rsid w:val="006E541D"/>
    <w:rsid w:val="006F7A72"/>
    <w:rsid w:val="00714507"/>
    <w:rsid w:val="00722F6B"/>
    <w:rsid w:val="00734F00"/>
    <w:rsid w:val="00736959"/>
    <w:rsid w:val="007A6078"/>
    <w:rsid w:val="007A70AE"/>
    <w:rsid w:val="008362E8"/>
    <w:rsid w:val="0085786E"/>
    <w:rsid w:val="008A1768"/>
    <w:rsid w:val="008A489F"/>
    <w:rsid w:val="008C0A97"/>
    <w:rsid w:val="008E7375"/>
    <w:rsid w:val="008F0F33"/>
    <w:rsid w:val="008F4429"/>
    <w:rsid w:val="0090691D"/>
    <w:rsid w:val="0094021A"/>
    <w:rsid w:val="0095750F"/>
    <w:rsid w:val="009802F1"/>
    <w:rsid w:val="009B44AF"/>
    <w:rsid w:val="009C6A0B"/>
    <w:rsid w:val="009E4A7B"/>
    <w:rsid w:val="009F0C77"/>
    <w:rsid w:val="009F4DD1"/>
    <w:rsid w:val="00A02543"/>
    <w:rsid w:val="00A220F4"/>
    <w:rsid w:val="00A41684"/>
    <w:rsid w:val="00A64E80"/>
    <w:rsid w:val="00A72BCD"/>
    <w:rsid w:val="00A741D9"/>
    <w:rsid w:val="00A8092A"/>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56A95"/>
    <w:rsid w:val="00D70640"/>
    <w:rsid w:val="00D73A67"/>
    <w:rsid w:val="00D8739D"/>
    <w:rsid w:val="00D970A9"/>
    <w:rsid w:val="00DF3845"/>
    <w:rsid w:val="00E26929"/>
    <w:rsid w:val="00E41911"/>
    <w:rsid w:val="00E44B57"/>
    <w:rsid w:val="00E92EEF"/>
    <w:rsid w:val="00E9736D"/>
    <w:rsid w:val="00EA1965"/>
    <w:rsid w:val="00EA7AEB"/>
    <w:rsid w:val="00EF05A3"/>
    <w:rsid w:val="00EF2368"/>
    <w:rsid w:val="00F24442"/>
    <w:rsid w:val="00F50AE3"/>
    <w:rsid w:val="00F655B7"/>
    <w:rsid w:val="00F656BA"/>
    <w:rsid w:val="00F67CF1"/>
    <w:rsid w:val="00F728AA"/>
    <w:rsid w:val="00F83F9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812B3"/>
  <w15:docId w15:val="{E767A7A5-A35C-4981-B459-800A3EC8B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60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29B423-EBE0-44D5-8FDB-3B0497698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1191</Words>
  <Characters>5904</Characters>
  <Application>Microsoft Office Word</Application>
  <DocSecurity>0</DocSecurity>
  <Lines>167</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3094 Text of Previous Version (Mar. 4, 2021) - South Carolina Legislature Online</dc:title>
  <dc:creator>Gwen Thurmond</dc:creator>
  <cp:lastModifiedBy>Derrick Williamson</cp:lastModifiedBy>
  <cp:revision>2</cp:revision>
  <cp:lastPrinted>2020-11-30T21:03:00Z</cp:lastPrinted>
  <dcterms:created xsi:type="dcterms:W3CDTF">2021-03-04T19:29:00Z</dcterms:created>
  <dcterms:modified xsi:type="dcterms:W3CDTF">2021-03-04T19:29:00Z</dcterms:modified>
</cp:coreProperties>
</file>