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685D" w:rsidRP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right" w:pos="5933"/>
        </w:tabs>
        <w:suppressAutoHyphens/>
      </w:pPr>
      <w:r>
        <w:tab/>
      </w:r>
      <w:r>
        <w:rPr>
          <w:b/>
          <w:sz w:val="36"/>
        </w:rPr>
        <w:t>H. 3106</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3106) to amend Sections 9</w:t>
      </w:r>
      <w:r>
        <w:noBreakHyphen/>
        <w:t>1</w:t>
      </w:r>
      <w:r>
        <w:noBreakHyphen/>
        <w:t>1085 and 9</w:t>
      </w:r>
      <w:r>
        <w:noBreakHyphen/>
        <w:t>11</w:t>
      </w:r>
      <w:r>
        <w:noBreakHyphen/>
        <w:t>225, Code of Laws of South Carolina, 1976, both relating to employer and employee contribution rates under, etc., respectfully</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Amend the bill, as and if amended, by striking all after the enacting words and inserting:</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A7447">
        <w:t>/</w:t>
      </w:r>
      <w:r w:rsidRPr="00EA7447">
        <w:tab/>
      </w: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w:t>
      </w:r>
      <w:bookmarkStart w:id="0" w:name="temp"/>
      <w:bookmarkEnd w:id="0"/>
      <w:r w:rsidRPr="00EA7447">
        <w:rPr>
          <w:u w:color="000000" w:themeColor="text1"/>
        </w:rPr>
        <w:t>E)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 xml:space="preserve">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w:t>
      </w:r>
      <w:r w:rsidRPr="00EA7447">
        <w:rPr>
          <w:u w:color="000000" w:themeColor="text1"/>
        </w:rPr>
        <w:lastRenderedPageBreak/>
        <w:t>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B.</w:t>
      </w:r>
      <w:r w:rsidRPr="00EA7447">
        <w:rPr>
          <w:u w:color="000000" w:themeColor="text1"/>
        </w:rPr>
        <w:tab/>
        <w:t>Section 9</w:t>
      </w:r>
      <w:r w:rsidRPr="00EA7447">
        <w:rPr>
          <w:u w:color="000000" w:themeColor="text1"/>
        </w:rPr>
        <w:noBreakHyphen/>
        <w:t>11</w:t>
      </w:r>
      <w:r w:rsidRPr="00EA7447">
        <w:rPr>
          <w:u w:color="000000" w:themeColor="text1"/>
        </w:rPr>
        <w:noBreakHyphen/>
        <w:t>225 of the 1976 Code is amended by adding a new subsection (E)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SECTION</w:t>
      </w:r>
      <w:r w:rsidRPr="00EA7447">
        <w:rPr>
          <w:u w:color="000000" w:themeColor="text1"/>
        </w:rPr>
        <w:tab/>
        <w:t>2.</w:t>
      </w:r>
      <w:r w:rsidRPr="00EA7447">
        <w:rPr>
          <w:u w:color="000000" w:themeColor="text1"/>
        </w:rPr>
        <w:tab/>
        <w:t>A.</w:t>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B.</w:t>
      </w:r>
      <w:r w:rsidRPr="00EA7447">
        <w:rPr>
          <w:u w:color="000000" w:themeColor="text1"/>
        </w:rPr>
        <w:tab/>
        <w:t>Section 9</w:t>
      </w:r>
      <w:r w:rsidRPr="00EA7447">
        <w:rPr>
          <w:u w:color="000000" w:themeColor="text1"/>
        </w:rPr>
        <w:noBreakHyphen/>
        <w:t>11</w:t>
      </w:r>
      <w:r w:rsidRPr="00EA7447">
        <w:rPr>
          <w:u w:color="000000" w:themeColor="text1"/>
        </w:rPr>
        <w:noBreakHyphen/>
        <w:t>10(12)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 xml:space="preserve">‘Compensation’ means the total remuneration paid to a police officer for service rendered to an employer for his full normal </w:t>
      </w:r>
      <w:r w:rsidRPr="00EA7447">
        <w:rPr>
          <w:lang w:val="en-PH"/>
        </w:rPr>
        <w:lastRenderedPageBreak/>
        <w:t>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B.</w:t>
      </w:r>
      <w:r w:rsidRPr="00EA7447">
        <w:rPr>
          <w:lang w:val="en-PH"/>
        </w:rPr>
        <w:tab/>
        <w:t>Section 9</w:t>
      </w:r>
      <w:r w:rsidRPr="00EA7447">
        <w:rPr>
          <w:lang w:val="en-PH"/>
        </w:rPr>
        <w:noBreakHyphen/>
        <w:t>11</w:t>
      </w:r>
      <w:r w:rsidRPr="00EA7447">
        <w:rPr>
          <w:lang w:val="en-PH"/>
        </w:rPr>
        <w:noBreakHyphen/>
        <w:t>10(2) and (6)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C.</w:t>
      </w:r>
      <w:r w:rsidRPr="00EA7447">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t>and amounts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SECTION</w:t>
      </w:r>
      <w:r w:rsidRPr="00EA7447">
        <w:rPr>
          <w:lang w:val="en-PH"/>
        </w:rPr>
        <w:tab/>
        <w:t>4.</w:t>
      </w:r>
      <w:r w:rsidRPr="00EA7447">
        <w:rPr>
          <w:lang w:val="en-PH"/>
        </w:rPr>
        <w:tab/>
        <w:t>A.</w:t>
      </w:r>
      <w:r w:rsidRPr="00EA7447">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w:t>
      </w:r>
      <w:r w:rsidRPr="00EA7447">
        <w:rPr>
          <w:lang w:val="en-PH"/>
        </w:rPr>
        <w:lastRenderedPageBreak/>
        <w:t xml:space="preserve">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B.</w:t>
      </w:r>
      <w:r w:rsidRPr="00EA7447">
        <w:rPr>
          <w:lang w:val="en-PH"/>
        </w:rPr>
        <w:tab/>
        <w:t>Section 9</w:t>
      </w:r>
      <w:r w:rsidRPr="00EA7447">
        <w:rPr>
          <w:lang w:val="en-PH"/>
        </w:rPr>
        <w:noBreakHyphen/>
        <w:t>1</w:t>
      </w:r>
      <w:r w:rsidRPr="00EA7447">
        <w:rPr>
          <w:lang w:val="en-PH"/>
        </w:rPr>
        <w:noBreakHyphen/>
        <w:t>1160(B)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made available.</w:t>
      </w:r>
      <w:r w:rsidRPr="00EA7447">
        <w:rPr>
          <w:lang w:val="en-PH"/>
        </w:rPr>
        <w:t xml:space="preserve">  </w:t>
      </w:r>
      <w:r w:rsidRPr="00EA7447">
        <w:rPr>
          <w:u w:val="single"/>
          <w:lang w:val="en-PH"/>
        </w:rPr>
        <w:t>For this purpose, each employer is considered to 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w:t>
      </w:r>
      <w:r w:rsidRPr="00EA7447">
        <w:rPr>
          <w:lang w:val="en-PH"/>
        </w:rPr>
        <w:lastRenderedPageBreak/>
        <w:t>to the extent as employee contributions made before the date picked up.”</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C.</w:t>
      </w:r>
      <w:r w:rsidRPr="00EA7447">
        <w:rPr>
          <w:u w:color="000000" w:themeColor="text1"/>
        </w:rPr>
        <w:tab/>
        <w:t>Section 9</w:t>
      </w:r>
      <w:r w:rsidRPr="00EA7447">
        <w:rPr>
          <w:u w:color="000000" w:themeColor="text1"/>
        </w:rPr>
        <w:noBreakHyphen/>
        <w:t>11</w:t>
      </w:r>
      <w:r w:rsidRPr="00EA7447">
        <w:rPr>
          <w:u w:color="000000" w:themeColor="text1"/>
        </w:rPr>
        <w:noBreakHyphen/>
        <w:t>210(11)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prior to the date picked up.”</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SECTION</w:t>
      </w:r>
      <w:r w:rsidRPr="00EA7447">
        <w:rPr>
          <w:lang w:val="en-PH"/>
        </w:rPr>
        <w:tab/>
        <w:t>5.</w:t>
      </w:r>
      <w:r w:rsidRPr="00EA7447">
        <w:rPr>
          <w:lang w:val="en-PH"/>
        </w:rPr>
        <w:tab/>
        <w:t>This act takes effect upon approval by the Governor.</w:t>
      </w:r>
      <w:r w:rsidRPr="00EA7447">
        <w:rPr>
          <w:lang w:val="en-PH"/>
        </w:rPr>
        <w:tab/>
      </w:r>
      <w:r w:rsidRPr="00EA7447">
        <w:rPr>
          <w:lang w:val="en-PH"/>
        </w:rPr>
        <w:tab/>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Renumber sections to conform.</w:t>
      </w:r>
    </w:p>
    <w:p w:rsid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Amend title to conform.</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5744B">
        <w:rPr>
          <w:b/>
          <w:bCs/>
        </w:rPr>
        <w:t>Explanation of Fiscal Impact</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744B">
        <w:rPr>
          <w:b/>
        </w:rPr>
        <w:t>State Expenditure</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This bill allows an employer participating in the South Carolina Retirement System or the Police Officers Retirement System to elect to increase its employer contribution rate by a percentage no greater than the employee contribution rate for the fiscal year.  This election </w:t>
      </w:r>
      <w:r w:rsidRPr="0055744B">
        <w:lastRenderedPageBreak/>
        <w:t xml:space="preserve">must be made by July first of the fiscal year and cannot be changed during the year.  The employee contribution rate for employees must be reduced by the same percentage that employer contributions were increased.  </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PEBA indicates that the bill charges the agency with additional accounting responsibilities, which may require additional programing expenses that can be managed with existing appropriations and allocations.  Therefore, this bill will have no expenditure impact on the </w:t>
      </w:r>
      <w:r>
        <w:t>g</w:t>
      </w:r>
      <w:r w:rsidRPr="0055744B">
        <w:t xml:space="preserve">eneral </w:t>
      </w:r>
      <w:r>
        <w:t>f</w:t>
      </w:r>
      <w:r w:rsidRPr="0055744B">
        <w:t xml:space="preserve">und, </w:t>
      </w:r>
      <w:r>
        <w:t>o</w:t>
      </w:r>
      <w:r w:rsidRPr="0055744B">
        <w:t xml:space="preserve">ther </w:t>
      </w:r>
      <w:r>
        <w:t>f</w:t>
      </w:r>
      <w:r w:rsidRPr="0055744B">
        <w:t xml:space="preserve">unds, or </w:t>
      </w:r>
      <w:r>
        <w:t>f</w:t>
      </w:r>
      <w:r w:rsidRPr="0055744B">
        <w:t xml:space="preserve">ederal </w:t>
      </w:r>
      <w:r>
        <w:t>f</w:t>
      </w:r>
      <w:r w:rsidRPr="0055744B">
        <w:t xml:space="preserve">unds of PEBA.  However, PEBA indicates that the effective date of this legislation may not provide sufficient time to modify their existing computer system to implement and properly account for the modified remittance of the employer and employee contributions.  </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Additionally, Revenue and Fiscal Affairs anticipates no financial or actuarial impact on the retirement systems since the total amount of employer and employee contributions remitted to the retirement systems will remain the same as under current statutes.</w:t>
      </w:r>
    </w:p>
    <w:p w:rsidR="00D6685D" w:rsidRPr="00B77D85"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Lastly, any increase in employer contributions by employers in the retirement systems electing to increase their contributions to pay employee contributions is undetermined given the permissive nature of this legislation.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6685D" w:rsidRP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685D" w:rsidSect="00D66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1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641E98"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25DB">
        <w:t>Section 9</w:t>
      </w:r>
      <w:r w:rsidR="000A25DB">
        <w:noBreakHyphen/>
        <w:t>1</w:t>
      </w:r>
      <w:r w:rsidR="000A25DB">
        <w:noBreakHyphen/>
        <w:t>1085 of the 1976 Code is amended by adding a new subsection (E) to read:</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Pr="004E181F"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225 of the 1976 Code is amended by adding a new subsection (E) to read:</w:t>
      </w:r>
    </w:p>
    <w:p w:rsidR="00641E98" w:rsidRPr="000A25DB" w:rsidRDefault="000A25DB" w:rsidP="00D668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641E98" w:rsidRDefault="00641E98" w:rsidP="00D668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5DB">
        <w:t>3</w:t>
      </w:r>
      <w:r>
        <w:t>.</w:t>
      </w:r>
      <w:r>
        <w:tab/>
        <w:t>This act takes effect upon approval by the Governor.</w:t>
      </w:r>
    </w:p>
    <w:p w:rsidR="00655A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7E36" w:rsidRDefault="00B97E36" w:rsidP="00B97E36">
      <w:pPr>
        <w:suppressAutoHyphens/>
      </w:pPr>
    </w:p>
    <w:sectPr w:rsidR="00B97E36" w:rsidSect="00D66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6564F6-3C83-4F43-8609-F4F512618CDD}"/>
    <w:embedBold r:id="rId2" w:fontKey="{C6163DB2-2546-4764-89C9-9AD722A07FB8}"/>
  </w:font>
  <w:font w:name="Calibri">
    <w:panose1 w:val="020F0502020204030204"/>
    <w:charset w:val="00"/>
    <w:family w:val="swiss"/>
    <w:pitch w:val="variable"/>
    <w:sig w:usb0="E4002EFF" w:usb1="C000247B" w:usb2="00000009" w:usb3="00000000" w:csb0="000001FF" w:csb1="00000000"/>
    <w:embedRegular r:id="rId3" w:fontKey="{59BC1D54-A82A-4FF0-8CDF-DF0D330C8723}"/>
  </w:font>
  <w:font w:name="Segoe UI">
    <w:panose1 w:val="020B0502040204020203"/>
    <w:charset w:val="00"/>
    <w:family w:val="swiss"/>
    <w:pitch w:val="variable"/>
    <w:sig w:usb0="E4002EFF" w:usb1="C000E47F" w:usb2="00000009" w:usb3="00000000" w:csb0="000001FF" w:csb1="00000000"/>
    <w:embedRegular r:id="rId4" w:fontKey="{690E9A1F-7D17-4796-BED3-1F8A1C861565}"/>
  </w:font>
  <w:font w:name="Cambria">
    <w:panose1 w:val="02040503050406030204"/>
    <w:charset w:val="00"/>
    <w:family w:val="roman"/>
    <w:pitch w:val="variable"/>
    <w:sig w:usb0="E00006FF" w:usb1="420024FF" w:usb2="02000000" w:usb3="00000000" w:csb0="0000019F" w:csb1="00000000"/>
    <w:embedRegular r:id="rId5" w:fontKey="{DBE83EC7-C525-4CAF-88B2-80D2D7BE57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Pr="00732593" w:rsidRDefault="00732593" w:rsidP="00732593">
    <w:pPr>
      <w:pStyle w:val="Footer"/>
      <w:tabs>
        <w:tab w:val="clear" w:pos="4680"/>
        <w:tab w:val="clear" w:pos="9360"/>
        <w:tab w:val="center" w:pos="2995"/>
      </w:tabs>
      <w:spacing w:before="120"/>
    </w:pPr>
    <w:r>
      <w:t>[3106</w:t>
    </w:r>
    <w:r w:rsidR="00D6685D">
      <w:t>-</w:t>
    </w:r>
    <w:r w:rsidR="00D6685D">
      <w:fldChar w:fldCharType="begin"/>
    </w:r>
    <w:r w:rsidR="00D6685D">
      <w:instrText xml:space="preserve"> PAGE  \* MERGEFORMAT </w:instrText>
    </w:r>
    <w:r w:rsidR="00D6685D">
      <w:fldChar w:fldCharType="separate"/>
    </w:r>
    <w:r w:rsidR="00B97E36">
      <w:rPr>
        <w:noProof/>
      </w:rPr>
      <w:t>6</w:t>
    </w:r>
    <w:r w:rsidR="00D6685D">
      <w:fldChar w:fldCharType="end"/>
    </w:r>
    <w:r w:rsidR="00D668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85D" w:rsidRPr="00732593" w:rsidRDefault="00D6685D"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B97E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19FB"/>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B8B"/>
    <w:rsid w:val="003F6D79"/>
    <w:rsid w:val="0041760A"/>
    <w:rsid w:val="00417C01"/>
    <w:rsid w:val="004403BD"/>
    <w:rsid w:val="00461441"/>
    <w:rsid w:val="004809EE"/>
    <w:rsid w:val="004E7D54"/>
    <w:rsid w:val="005273C6"/>
    <w:rsid w:val="00530A69"/>
    <w:rsid w:val="00545593"/>
    <w:rsid w:val="00556EBF"/>
    <w:rsid w:val="0057019F"/>
    <w:rsid w:val="00577C6C"/>
    <w:rsid w:val="005A62FE"/>
    <w:rsid w:val="005C2FE2"/>
    <w:rsid w:val="005E2BC9"/>
    <w:rsid w:val="00605102"/>
    <w:rsid w:val="006215AA"/>
    <w:rsid w:val="00641E98"/>
    <w:rsid w:val="00655A20"/>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B44AF"/>
    <w:rsid w:val="009C6A0B"/>
    <w:rsid w:val="009F0C77"/>
    <w:rsid w:val="009F4DD1"/>
    <w:rsid w:val="00A02543"/>
    <w:rsid w:val="00A41684"/>
    <w:rsid w:val="00A5120A"/>
    <w:rsid w:val="00A64E80"/>
    <w:rsid w:val="00A72BCD"/>
    <w:rsid w:val="00A741D9"/>
    <w:rsid w:val="00A74F7D"/>
    <w:rsid w:val="00A833AB"/>
    <w:rsid w:val="00A9741D"/>
    <w:rsid w:val="00AC34A2"/>
    <w:rsid w:val="00AD1C9A"/>
    <w:rsid w:val="00AD4B17"/>
    <w:rsid w:val="00B412D4"/>
    <w:rsid w:val="00B64FFF"/>
    <w:rsid w:val="00B97E36"/>
    <w:rsid w:val="00BE3C22"/>
    <w:rsid w:val="00C0345E"/>
    <w:rsid w:val="00C21ABE"/>
    <w:rsid w:val="00C31C95"/>
    <w:rsid w:val="00C3483A"/>
    <w:rsid w:val="00C74E9D"/>
    <w:rsid w:val="00C826DD"/>
    <w:rsid w:val="00C82FD3"/>
    <w:rsid w:val="00C92819"/>
    <w:rsid w:val="00CC6B7B"/>
    <w:rsid w:val="00CD2089"/>
    <w:rsid w:val="00D6685D"/>
    <w:rsid w:val="00D73A67"/>
    <w:rsid w:val="00D742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CF24-9BE9-46A1-965A-B7E00BF34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2420</Words>
  <Characters>13027</Characters>
  <Application>Microsoft Office Word</Application>
  <DocSecurity>0</DocSecurity>
  <Lines>299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(Mar. 31, 2022) - South Carolina Legislature Online</dc:title>
  <dc:creator>Stacey Morris</dc:creator>
  <cp:lastModifiedBy>Miriam Cook</cp:lastModifiedBy>
  <cp:revision>2</cp:revision>
  <cp:lastPrinted>2020-12-08T20:17:00Z</cp:lastPrinted>
  <dcterms:created xsi:type="dcterms:W3CDTF">2022-04-01T00:05:00Z</dcterms:created>
  <dcterms:modified xsi:type="dcterms:W3CDTF">2022-04-01T00:05:00Z</dcterms:modified>
</cp:coreProperties>
</file>