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8B2" w:rsidRDefault="009B68B2"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3A" w:rsidRDefault="003C333A" w:rsidP="003C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23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 xml:space="preserve">TO AMEND </w:t>
      </w:r>
      <w:r>
        <w:rPr>
          <w:color w:val="000000" w:themeColor="text1"/>
          <w:u w:color="000000" w:themeColor="text1"/>
        </w:rPr>
        <w:t>SECTION 1</w:t>
      </w:r>
      <w:r>
        <w:rPr>
          <w:color w:val="000000" w:themeColor="text1"/>
          <w:u w:color="000000" w:themeColor="text1"/>
        </w:rPr>
        <w:noBreakHyphen/>
        <w:t>7</w:t>
      </w:r>
      <w:r>
        <w:rPr>
          <w:color w:val="000000" w:themeColor="text1"/>
          <w:u w:color="000000" w:themeColor="text1"/>
        </w:rPr>
        <w:noBreakHyphen/>
        <w:t xml:space="preserve">940, </w:t>
      </w:r>
      <w:r w:rsidRPr="004D3D1D">
        <w:rPr>
          <w:color w:val="000000" w:themeColor="text1"/>
          <w:u w:color="000000" w:themeColor="text1"/>
        </w:rPr>
        <w:t>CODE OF LAWS OF SOUTH CAROLINA, 1976,</w:t>
      </w:r>
      <w:r>
        <w:rPr>
          <w:color w:val="000000" w:themeColor="text1"/>
          <w:u w:color="000000" w:themeColor="text1"/>
        </w:rPr>
        <w:t xml:space="preserve"> RELATING TO THE DUTIES OF THE COMMISSION ON PROSECUTION COORDINATION, SO AS TO PROVIDE THAT THE COMMISSION SHALL PROMULGATE REGULATIONS APPLICABLE TO CIRCUIT SOLICITOR FINANCES</w:t>
      </w:r>
      <w:r w:rsidRPr="004D3D1D">
        <w:rPr>
          <w:color w:val="000000" w:themeColor="text1"/>
          <w:u w:color="000000" w:themeColor="text1"/>
        </w:rPr>
        <w:t>;</w:t>
      </w:r>
      <w:r>
        <w:rPr>
          <w:color w:val="000000" w:themeColor="text1"/>
          <w:u w:color="000000" w:themeColor="text1"/>
        </w:rPr>
        <w:t xml:space="preserve"> </w:t>
      </w:r>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50, RELATING TO THE DETERMINATION OF FEES FOR APPOINTED COUNSEL AND PUBLIC DEFENDERS, SO AS TO MAKE CONFORMING CHANGES, AND TO PROVIDE THAT ADDITIONAL FEES OR EXPENSES MAY NOT BE PAID IF PRIOR APPROVAL BY THE COURT IS NOT OBTAINED</w:t>
      </w:r>
      <w:r>
        <w:rPr>
          <w:color w:val="000000" w:themeColor="text1"/>
          <w:u w:color="000000" w:themeColor="text1"/>
        </w:rPr>
        <w:t xml:space="preserve">; </w:t>
      </w:r>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100, RELATING TO THE DISCRETIONARY AUTHORITY OF A JUDGE TO APPOINT COUNSEL, SO AS TO MAKE CONFORMING CHANGES;</w:t>
      </w:r>
      <w:r>
        <w:rPr>
          <w:color w:val="000000" w:themeColor="text1"/>
          <w:u w:color="000000" w:themeColor="text1"/>
        </w:rPr>
        <w:t xml:space="preserve"> </w:t>
      </w:r>
      <w:r w:rsidRPr="00992517">
        <w:rPr>
          <w:color w:val="000000" w:themeColor="text1"/>
          <w:u w:color="000000" w:themeColor="text1"/>
        </w:rPr>
        <w:t>TO REPEAL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80</w:t>
      </w:r>
      <w:r w:rsidRPr="00992517">
        <w:rPr>
          <w:color w:val="000000" w:themeColor="text1"/>
          <w:u w:color="000000" w:themeColor="text1"/>
        </w:rPr>
        <w:t xml:space="preserve"> RELATING TO THE APPROPRIATION FOR EXPENSES OF APPOINTED PRIVATE COUNSEL AND PUBLIC DEFENDERS; TO REPEAL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85 RELATING TO YEAR</w:t>
      </w:r>
      <w:r>
        <w:rPr>
          <w:color w:val="000000" w:themeColor="text1"/>
          <w:u w:color="000000" w:themeColor="text1"/>
        </w:rPr>
        <w:noBreakHyphen/>
        <w:t xml:space="preserve">END </w:t>
      </w:r>
      <w:r w:rsidRPr="00992517">
        <w:rPr>
          <w:color w:val="000000" w:themeColor="text1"/>
          <w:u w:color="000000" w:themeColor="text1"/>
        </w:rPr>
        <w:t>DISPOSITIONS OF UNEXPENDED APPROPRIATIONS; AND TO REPEAL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90</w:t>
      </w:r>
      <w:r w:rsidRPr="00992517">
        <w:rPr>
          <w:color w:val="000000" w:themeColor="text1"/>
          <w:u w:color="000000" w:themeColor="text1"/>
        </w:rPr>
        <w:t xml:space="preserve"> RELATING TO VOUCHERS FOR PAYMENT FOR SERVICES BY PRIVATE APPOINTED COUNSEL.</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48" w:rsidRPr="00CE63AC"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E63AC">
        <w:rPr>
          <w:color w:val="000000" w:themeColor="text1"/>
          <w:u w:color="000000" w:themeColor="text1"/>
        </w:rPr>
        <w:t>Section 1</w:t>
      </w:r>
      <w:r>
        <w:rPr>
          <w:color w:val="000000" w:themeColor="text1"/>
          <w:u w:color="000000" w:themeColor="text1"/>
        </w:rPr>
        <w:noBreakHyphen/>
      </w:r>
      <w:r w:rsidRPr="00CE63AC">
        <w:rPr>
          <w:color w:val="000000" w:themeColor="text1"/>
          <w:u w:color="000000" w:themeColor="text1"/>
        </w:rPr>
        <w:t>7</w:t>
      </w:r>
      <w:r>
        <w:rPr>
          <w:color w:val="000000" w:themeColor="text1"/>
          <w:u w:color="000000" w:themeColor="text1"/>
        </w:rPr>
        <w:noBreakHyphen/>
      </w:r>
      <w:r w:rsidRPr="00CE63AC">
        <w:rPr>
          <w:color w:val="000000" w:themeColor="text1"/>
          <w:u w:color="000000" w:themeColor="text1"/>
        </w:rPr>
        <w:t>940(A) of the 1976 Code is amended by adding an appropriately numbered item to read:</w:t>
      </w:r>
    </w:p>
    <w:p w:rsidR="002F2148" w:rsidRPr="00CE63AC"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Pr="00CE63AC"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63AC">
        <w:rPr>
          <w:color w:val="000000" w:themeColor="text1"/>
          <w:u w:color="000000" w:themeColor="text1"/>
        </w:rPr>
        <w:tab/>
        <w:t>“(  )</w:t>
      </w:r>
      <w:r w:rsidRPr="00CE63AC">
        <w:rPr>
          <w:color w:val="000000" w:themeColor="text1"/>
          <w:u w:color="000000" w:themeColor="text1"/>
        </w:rPr>
        <w:tab/>
        <w:t xml:space="preserve">promulgate regulations applicable to circuit solicitor finances. These policies may include, but are not limited to, proof of spending policies and assurances that those with access to funds </w:t>
      </w:r>
      <w:r w:rsidRPr="00CE63AC">
        <w:rPr>
          <w:color w:val="000000" w:themeColor="text1"/>
          <w:u w:color="000000" w:themeColor="text1"/>
        </w:rPr>
        <w:lastRenderedPageBreak/>
        <w:t>have passed appropriate background checks. These regulations must include enforcement mechanisms.”</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50(A) and (C) of the 1976 Code is amended to read:</w:t>
      </w: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“(A)</w:t>
      </w:r>
      <w:r w:rsidRPr="00992517">
        <w:rPr>
          <w:color w:val="000000" w:themeColor="text1"/>
          <w:u w:color="000000" w:themeColor="text1"/>
        </w:rPr>
        <w:tab/>
        <w:t>When private counsel is appointed pursuant to this chapter, he must be paid a reasonable fee to be determined on the basis of forty dollars an hour for time spent out of court and sixty dollars an hour for time spent in court. The same hourly rates apply in post</w:t>
      </w:r>
      <w:r>
        <w:rPr>
          <w:color w:val="000000" w:themeColor="text1"/>
          <w:u w:color="000000" w:themeColor="text1"/>
        </w:rPr>
        <w:noBreakHyphen/>
      </w:r>
      <w:r w:rsidRPr="00992517">
        <w:rPr>
          <w:color w:val="000000" w:themeColor="text1"/>
          <w:u w:color="000000" w:themeColor="text1"/>
        </w:rPr>
        <w:t>conviction proceedings. Compensation may not exceed three thousand five hundred dollars in a case in which one or more felonies is charged and one thousand dollars in a case in which only misdemeanors are charged. Compensation must be paid from funds available to the Office of Indigent Defense for the defense of indigents represented by court</w:t>
      </w:r>
      <w:r>
        <w:rPr>
          <w:color w:val="000000" w:themeColor="text1"/>
          <w:u w:color="000000" w:themeColor="text1"/>
        </w:rPr>
        <w:noBreakHyphen/>
      </w:r>
      <w:r w:rsidRPr="00992517">
        <w:rPr>
          <w:color w:val="000000" w:themeColor="text1"/>
          <w:u w:color="000000" w:themeColor="text1"/>
        </w:rPr>
        <w:t xml:space="preserve">appointed, private counsel. The same basis must be employed to determine the value of services provided by the office of the public defender for purposes of Section </w:t>
      </w:r>
      <w:r w:rsidRPr="00992517">
        <w:rPr>
          <w:strike/>
          <w:color w:val="000000" w:themeColor="text1"/>
          <w:u w:color="000000" w:themeColor="text1"/>
        </w:rPr>
        <w:t>17</w:t>
      </w:r>
      <w:r>
        <w:rPr>
          <w:strike/>
          <w:color w:val="000000" w:themeColor="text1"/>
          <w:u w:color="000000" w:themeColor="text1"/>
        </w:rPr>
        <w:noBreakHyphen/>
      </w:r>
      <w:r w:rsidRPr="00992517">
        <w:rPr>
          <w:strike/>
          <w:color w:val="000000" w:themeColor="text1"/>
          <w:u w:color="000000" w:themeColor="text1"/>
        </w:rPr>
        <w:t>3</w:t>
      </w:r>
      <w:r>
        <w:rPr>
          <w:strike/>
          <w:color w:val="000000" w:themeColor="text1"/>
          <w:u w:color="000000" w:themeColor="text1"/>
        </w:rPr>
        <w:noBreakHyphen/>
      </w:r>
      <w:r w:rsidRPr="00992517">
        <w:rPr>
          <w:strike/>
          <w:color w:val="000000" w:themeColor="text1"/>
          <w:u w:color="000000" w:themeColor="text1"/>
        </w:rPr>
        <w:t>40</w:t>
      </w:r>
      <w:r w:rsidRPr="00992517">
        <w:rPr>
          <w:color w:val="000000" w:themeColor="text1"/>
          <w:u w:color="000000" w:themeColor="text1"/>
        </w:rPr>
        <w:t xml:space="preserve"> </w:t>
      </w:r>
      <w:r w:rsidRPr="00992517">
        <w:rPr>
          <w:color w:val="000000" w:themeColor="text1"/>
          <w:u w:val="single" w:color="000000" w:themeColor="text1"/>
        </w:rPr>
        <w:t>17</w:t>
      </w:r>
      <w:r>
        <w:rPr>
          <w:color w:val="000000" w:themeColor="text1"/>
          <w:u w:val="single" w:color="000000" w:themeColor="text1"/>
        </w:rPr>
        <w:noBreakHyphen/>
      </w:r>
      <w:r w:rsidRPr="00992517">
        <w:rPr>
          <w:color w:val="000000" w:themeColor="text1"/>
          <w:u w:val="single" w:color="000000" w:themeColor="text1"/>
        </w:rPr>
        <w:t>3</w:t>
      </w:r>
      <w:r>
        <w:rPr>
          <w:color w:val="000000" w:themeColor="text1"/>
          <w:u w:val="single" w:color="000000" w:themeColor="text1"/>
        </w:rPr>
        <w:noBreakHyphen/>
      </w:r>
      <w:r w:rsidRPr="00992517">
        <w:rPr>
          <w:color w:val="000000" w:themeColor="text1"/>
          <w:u w:val="single" w:color="000000" w:themeColor="text1"/>
        </w:rPr>
        <w:t>45</w:t>
      </w:r>
      <w:r w:rsidRPr="00992517">
        <w:rPr>
          <w:color w:val="000000" w:themeColor="text1"/>
          <w:u w:color="000000" w:themeColor="text1"/>
        </w:rPr>
        <w:t>.</w:t>
      </w: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2517">
        <w:rPr>
          <w:color w:val="000000" w:themeColor="text1"/>
          <w:u w:color="000000" w:themeColor="text1"/>
        </w:rPr>
        <w:tab/>
        <w:t>(C)</w:t>
      </w:r>
      <w:r w:rsidRPr="00992517">
        <w:rPr>
          <w:color w:val="000000" w:themeColor="text1"/>
          <w:u w:color="000000" w:themeColor="text1"/>
        </w:rPr>
        <w:tab/>
        <w:t xml:space="preserve">Payment in excess of the hourly rates and limits in subsection (A) or (B) is authorized only if the court certifies, in a written order with specific findings of fact, </w:t>
      </w:r>
      <w:r w:rsidRPr="00992517">
        <w:rPr>
          <w:color w:val="000000" w:themeColor="text1"/>
          <w:u w:val="single" w:color="000000" w:themeColor="text1"/>
        </w:rPr>
        <w:t>before fees or expenses are incurred,</w:t>
      </w:r>
      <w:r w:rsidRPr="00992517">
        <w:rPr>
          <w:color w:val="000000" w:themeColor="text1"/>
          <w:u w:color="000000" w:themeColor="text1"/>
        </w:rPr>
        <w:t xml:space="preserve"> that payment in excess of the rates is necessary to provide compensation adequate to ensure effective assistance of counsel and payment in excess of the limit is appropriate because the services provided </w:t>
      </w:r>
      <w:r w:rsidRPr="00992517">
        <w:rPr>
          <w:strike/>
          <w:color w:val="000000" w:themeColor="text1"/>
          <w:u w:color="000000" w:themeColor="text1"/>
        </w:rPr>
        <w:t>were reasonably and necessarily incurred</w:t>
      </w:r>
      <w:r w:rsidRPr="00992517">
        <w:rPr>
          <w:color w:val="000000" w:themeColor="text1"/>
          <w:u w:color="000000" w:themeColor="text1"/>
        </w:rPr>
        <w:t xml:space="preserve"> </w:t>
      </w:r>
      <w:r w:rsidRPr="00992517">
        <w:rPr>
          <w:color w:val="000000" w:themeColor="text1"/>
          <w:u w:val="single" w:color="000000" w:themeColor="text1"/>
        </w:rPr>
        <w:t>are reasonable and necessary. If prior approval by written order of the court is not obtained, additional fees or expenses may not be paid</w:t>
      </w:r>
      <w:r w:rsidRPr="00992517">
        <w:rPr>
          <w:color w:val="000000" w:themeColor="text1"/>
          <w:u w:color="000000" w:themeColor="text1"/>
        </w:rPr>
        <w:t>.”</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100 of the 1976 Code is amended to read:</w:t>
      </w:r>
    </w:p>
    <w:p w:rsidR="002F2148" w:rsidRPr="00992517"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w:t>
      </w:r>
      <w:r>
        <w:rPr>
          <w:color w:val="000000" w:themeColor="text1"/>
          <w:u w:color="000000" w:themeColor="text1"/>
        </w:rPr>
        <w:t>Section 17</w:t>
      </w:r>
      <w:r>
        <w:rPr>
          <w:color w:val="000000" w:themeColor="text1"/>
          <w:u w:color="000000" w:themeColor="text1"/>
        </w:rPr>
        <w:noBreakHyphen/>
        <w:t>3</w:t>
      </w:r>
      <w:r>
        <w:rPr>
          <w:color w:val="000000" w:themeColor="text1"/>
          <w:u w:color="000000" w:themeColor="text1"/>
        </w:rPr>
        <w:noBreakHyphen/>
        <w:t>100.</w:t>
      </w:r>
      <w:r>
        <w:rPr>
          <w:color w:val="000000" w:themeColor="text1"/>
          <w:u w:color="000000" w:themeColor="text1"/>
        </w:rPr>
        <w:tab/>
      </w:r>
      <w:r w:rsidRPr="00992517">
        <w:rPr>
          <w:color w:val="000000" w:themeColor="text1"/>
          <w:u w:color="000000" w:themeColor="text1"/>
        </w:rPr>
        <w:t xml:space="preserve">Nothing herein contained is designed to limit the discretionary authority of a judge to appoint counsel in any case and any such counsel </w:t>
      </w:r>
      <w:r w:rsidRPr="00992517">
        <w:rPr>
          <w:strike/>
          <w:color w:val="000000" w:themeColor="text1"/>
          <w:u w:color="000000" w:themeColor="text1"/>
        </w:rPr>
        <w:t>shall</w:t>
      </w:r>
      <w:r w:rsidRPr="00992517">
        <w:rPr>
          <w:color w:val="000000" w:themeColor="text1"/>
          <w:u w:color="000000" w:themeColor="text1"/>
        </w:rPr>
        <w:t xml:space="preserve"> </w:t>
      </w:r>
      <w:r w:rsidRPr="00992517">
        <w:rPr>
          <w:color w:val="000000" w:themeColor="text1"/>
          <w:u w:val="single" w:color="000000" w:themeColor="text1"/>
        </w:rPr>
        <w:t>must</w:t>
      </w:r>
      <w:r w:rsidRPr="00992517">
        <w:rPr>
          <w:color w:val="000000" w:themeColor="text1"/>
          <w:u w:color="000000" w:themeColor="text1"/>
        </w:rPr>
        <w:t xml:space="preserve"> be entitled to remuneration and reimbursement as provided in </w:t>
      </w:r>
      <w:r w:rsidRPr="00992517">
        <w:rPr>
          <w:strike/>
          <w:color w:val="000000" w:themeColor="text1"/>
          <w:u w:color="000000" w:themeColor="text1"/>
        </w:rPr>
        <w:t>Sections</w:t>
      </w:r>
      <w:r w:rsidRPr="00992517">
        <w:rPr>
          <w:color w:val="000000" w:themeColor="text1"/>
          <w:u w:color="000000" w:themeColor="text1"/>
        </w:rPr>
        <w:t xml:space="preserve"> </w:t>
      </w:r>
      <w:r w:rsidRPr="00992517">
        <w:rPr>
          <w:color w:val="000000" w:themeColor="text1"/>
          <w:u w:val="single" w:color="000000" w:themeColor="text1"/>
        </w:rPr>
        <w:t>Section</w:t>
      </w:r>
      <w:r w:rsidRPr="00992517">
        <w:rPr>
          <w:color w:val="000000" w:themeColor="text1"/>
          <w:u w:color="000000" w:themeColor="text1"/>
        </w:rPr>
        <w:t xml:space="preserve">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50 </w:t>
      </w:r>
      <w:r w:rsidRPr="00992517">
        <w:rPr>
          <w:strike/>
          <w:color w:val="000000" w:themeColor="text1"/>
          <w:u w:color="000000" w:themeColor="text1"/>
        </w:rPr>
        <w:t>and 17</w:t>
      </w:r>
      <w:r>
        <w:rPr>
          <w:strike/>
          <w:color w:val="000000" w:themeColor="text1"/>
          <w:u w:color="000000" w:themeColor="text1"/>
        </w:rPr>
        <w:noBreakHyphen/>
      </w:r>
      <w:r w:rsidRPr="00992517">
        <w:rPr>
          <w:strike/>
          <w:color w:val="000000" w:themeColor="text1"/>
          <w:u w:color="000000" w:themeColor="text1"/>
        </w:rPr>
        <w:t>3</w:t>
      </w:r>
      <w:r>
        <w:rPr>
          <w:strike/>
          <w:color w:val="000000" w:themeColor="text1"/>
          <w:u w:color="000000" w:themeColor="text1"/>
        </w:rPr>
        <w:noBreakHyphen/>
      </w:r>
      <w:r w:rsidRPr="00992517">
        <w:rPr>
          <w:strike/>
          <w:color w:val="000000" w:themeColor="text1"/>
          <w:u w:color="000000" w:themeColor="text1"/>
        </w:rPr>
        <w:t>80 hereof</w:t>
      </w:r>
      <w:r w:rsidRPr="00992517">
        <w:rPr>
          <w:color w:val="000000" w:themeColor="text1"/>
          <w:u w:color="000000" w:themeColor="text1"/>
        </w:rPr>
        <w:t>, so long as funds appropriated herein are available therefor.”</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92517">
        <w:rPr>
          <w:color w:val="000000" w:themeColor="text1"/>
          <w:u w:color="000000" w:themeColor="text1"/>
        </w:rPr>
        <w:t>Sections</w:t>
      </w:r>
      <w:r>
        <w:rPr>
          <w:color w:val="000000" w:themeColor="text1"/>
          <w:u w:color="000000" w:themeColor="text1"/>
        </w:rPr>
        <w:t xml:space="preserve"> </w:t>
      </w:r>
      <w:r w:rsidRPr="00992517">
        <w:rPr>
          <w:color w:val="000000" w:themeColor="text1"/>
          <w:u w:color="000000" w:themeColor="text1"/>
        </w:rPr>
        <w:t>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80, 17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85, and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90 of the 1976 Code are repealed. </w:t>
      </w:r>
    </w:p>
    <w:p w:rsidR="002F2148" w:rsidRDefault="002F2148" w:rsidP="002F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B2" w:rsidRDefault="002F21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bookmarkStart w:id="4" w:name="titleend"/>
      <w:bookmarkEnd w:id="4"/>
    </w:p>
    <w:p w:rsidR="00DF37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9B68B2" w:rsidRDefault="009B68B2" w:rsidP="009B68B2">
      <w:pPr>
        <w:suppressAutoHyphens/>
      </w:pPr>
    </w:p>
    <w:sectPr w:rsidR="009B68B2" w:rsidSect="009B68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3B2" w:rsidRDefault="008723B2" w:rsidP="009F0C77">
      <w:r>
        <w:separator/>
      </w:r>
    </w:p>
  </w:endnote>
  <w:endnote w:type="continuationSeparator" w:id="0">
    <w:p w:rsidR="008723B2" w:rsidRDefault="008723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43F4C0-CDAE-4FFB-B15A-300DCA6F6789}"/>
    <w:embedBold r:id="rId2" w:fontKey="{01046681-44C7-4A20-B8B6-1F7439083718}"/>
  </w:font>
  <w:font w:name="Calibri">
    <w:panose1 w:val="020F0502020204030204"/>
    <w:charset w:val="00"/>
    <w:family w:val="swiss"/>
    <w:pitch w:val="variable"/>
    <w:sig w:usb0="E4002EFF" w:usb1="C000247B" w:usb2="00000009" w:usb3="00000000" w:csb0="000001FF" w:csb1="00000000"/>
    <w:embedRegular r:id="rId3" w:fontKey="{1A9E3C44-FD3C-4866-94F4-22403C4959BA}"/>
  </w:font>
  <w:font w:name="Segoe UI">
    <w:panose1 w:val="020B0502040204020203"/>
    <w:charset w:val="00"/>
    <w:family w:val="swiss"/>
    <w:pitch w:val="variable"/>
    <w:sig w:usb0="E4002EFF" w:usb1="C000E47F" w:usb2="00000009" w:usb3="00000000" w:csb0="000001FF" w:csb1="00000000"/>
    <w:embedRegular r:id="rId4" w:fontKey="{616FDC9D-2374-447A-9A50-1E235ECD3428}"/>
  </w:font>
  <w:font w:name="Cambria">
    <w:panose1 w:val="02040503050406030204"/>
    <w:charset w:val="00"/>
    <w:family w:val="roman"/>
    <w:pitch w:val="variable"/>
    <w:sig w:usb0="E00006FF" w:usb1="420024FF" w:usb2="02000000" w:usb3="00000000" w:csb0="0000019F" w:csb1="00000000"/>
    <w:embedRegular r:id="rId5" w:fontKey="{CA493931-F571-4EE0-ACFA-0BDD149759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795" w:rsidRPr="009B68B2" w:rsidRDefault="009B68B2" w:rsidP="009B68B2">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3B2" w:rsidRDefault="008723B2" w:rsidP="009F0C77">
      <w:r>
        <w:separator/>
      </w:r>
    </w:p>
  </w:footnote>
  <w:footnote w:type="continuationSeparator" w:id="0">
    <w:p w:rsidR="008723B2" w:rsidRDefault="008723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2SA21"/>
    <w:docVar w:name="CoverBillType" w:val="b"/>
    <w:docVar w:name="DocPath" w:val="L:\Council\bills\SM\20112SA21.DOCX"/>
    <w:docVar w:name="dvBillNumber" w:val="3125"/>
    <w:docVar w:name="dvBillNumberPrefix" w:val="H. "/>
    <w:docVar w:name="dvOriginalBody" w:val="House"/>
    <w:docVar w:name="dvSteno" w:val="SM"/>
    <w:docVar w:name="NameofBody" w:val="h"/>
    <w:docVar w:name="vGroup2" w:val="Council"/>
  </w:docVars>
  <w:rsids>
    <w:rsidRoot w:val="008723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148"/>
    <w:rsid w:val="00301B21"/>
    <w:rsid w:val="00325348"/>
    <w:rsid w:val="0032732C"/>
    <w:rsid w:val="00336AD0"/>
    <w:rsid w:val="0037079A"/>
    <w:rsid w:val="003C33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23B2"/>
    <w:rsid w:val="008A1768"/>
    <w:rsid w:val="008A489F"/>
    <w:rsid w:val="008F0F33"/>
    <w:rsid w:val="008F4429"/>
    <w:rsid w:val="0094021A"/>
    <w:rsid w:val="009555A0"/>
    <w:rsid w:val="009B44AF"/>
    <w:rsid w:val="009B68B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56FE"/>
    <w:rsid w:val="00D73A67"/>
    <w:rsid w:val="00D970A9"/>
    <w:rsid w:val="00DF379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EB6FB-F05F-414F-B85B-CF1CFD8D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5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09625-9AFC-4E01-BA02-F4332142E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2894</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3125 Text of Previous Version (Dec. 9, 2020) - South Carolina Legislature Online</dc:title>
  <dc:creator>Stacey Morris</dc:creator>
  <cp:lastModifiedBy>Sade Wilson</cp:lastModifiedBy>
  <cp:revision>2</cp:revision>
  <cp:lastPrinted>2020-12-02T15:32:00Z</cp:lastPrinted>
  <dcterms:created xsi:type="dcterms:W3CDTF">2020-12-11T22:05:00Z</dcterms:created>
  <dcterms:modified xsi:type="dcterms:W3CDTF">2020-12-11T22:05:00Z</dcterms:modified>
</cp:coreProperties>
</file>