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B3C" w:rsidRDefault="007B3B3C"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9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w:t>
      </w:r>
      <w:r>
        <w:rPr>
          <w:color w:val="000000" w:themeColor="text1"/>
          <w:u w:color="000000" w:themeColor="text1"/>
        </w:rPr>
        <w:t>S</w:t>
      </w:r>
      <w:r w:rsidRPr="006D29F3">
        <w:rPr>
          <w:color w:val="000000" w:themeColor="text1"/>
          <w:u w:color="000000" w:themeColor="text1"/>
        </w:rPr>
        <w:t xml:space="preserve"> </w:t>
      </w:r>
      <w:r>
        <w:rPr>
          <w:color w:val="000000" w:themeColor="text1"/>
          <w:u w:color="000000" w:themeColor="text1"/>
        </w:rPr>
        <w:t>32</w:t>
      </w:r>
      <w:r>
        <w:rPr>
          <w:color w:val="000000" w:themeColor="text1"/>
          <w:u w:color="000000" w:themeColor="text1"/>
        </w:rPr>
        <w:noBreakHyphen/>
        <w:t>8</w:t>
      </w:r>
      <w:r>
        <w:rPr>
          <w:color w:val="000000" w:themeColor="text1"/>
          <w:u w:color="000000" w:themeColor="text1"/>
        </w:rPr>
        <w:noBreakHyphen/>
        <w:t>320 AND 32</w:t>
      </w:r>
      <w:r>
        <w:rPr>
          <w:color w:val="000000" w:themeColor="text1"/>
          <w:u w:color="000000" w:themeColor="text1"/>
        </w:rPr>
        <w:noBreakHyphen/>
        <w:t>8</w:t>
      </w:r>
      <w:r>
        <w:rPr>
          <w:color w:val="000000" w:themeColor="text1"/>
          <w:u w:color="000000" w:themeColor="text1"/>
        </w:rPr>
        <w:noBreakHyphen/>
        <w:t>325</w:t>
      </w:r>
      <w:r w:rsidRPr="006D29F3">
        <w:rPr>
          <w:color w:val="000000" w:themeColor="text1"/>
          <w:u w:color="000000" w:themeColor="text1"/>
        </w:rPr>
        <w:t>, CODE OF LAWS OF SOUTH CAROLINA, 1976,</w:t>
      </w:r>
      <w:r>
        <w:rPr>
          <w:color w:val="000000" w:themeColor="text1"/>
          <w:u w:color="000000" w:themeColor="text1"/>
        </w:rPr>
        <w:t xml:space="preserve"> BOTH RELATING TO THE SAFE CREMATION ACT</w:t>
      </w:r>
      <w:r w:rsidRPr="0090730A">
        <w:rPr>
          <w:color w:val="000000" w:themeColor="text1"/>
          <w:u w:color="000000" w:themeColor="text1"/>
        </w:rPr>
        <w:t>’</w:t>
      </w:r>
      <w:r>
        <w:rPr>
          <w:color w:val="000000" w:themeColor="text1"/>
          <w:u w:color="000000" w:themeColor="text1"/>
        </w:rPr>
        <w:t>S CREMATION AUTHORIZATIONS AND PROCEDURES,</w:t>
      </w:r>
      <w:r w:rsidRPr="006D29F3">
        <w:rPr>
          <w:color w:val="000000" w:themeColor="text1"/>
          <w:u w:color="000000" w:themeColor="text1"/>
        </w:rPr>
        <w:t xml:space="preserve"> </w:t>
      </w:r>
      <w:r>
        <w:rPr>
          <w:color w:val="000000" w:themeColor="text1"/>
          <w:u w:color="000000" w:themeColor="text1"/>
        </w:rPr>
        <w:t>SO AS TO PROVIDE A NOTICE REQUIREMENT PRIOR TO CREMATION.</w:t>
      </w:r>
      <w:bookmarkStart w:id="4" w:name="titleend"/>
      <w:bookmarkEnd w:id="4"/>
    </w:p>
    <w:p w:rsidR="0090730A" w:rsidRDefault="0090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5D" w:rsidRDefault="00A76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5D" w:rsidRDefault="00A76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Pr>
          <w:color w:val="000000" w:themeColor="text1"/>
          <w:u w:color="000000" w:themeColor="text1"/>
        </w:rPr>
        <w:tab/>
      </w:r>
      <w:r w:rsidRPr="006169E5">
        <w:rPr>
          <w:color w:val="000000" w:themeColor="text1"/>
          <w:u w:color="000000" w:themeColor="text1"/>
        </w:rPr>
        <w:t>1.</w:t>
      </w:r>
      <w:r>
        <w:rPr>
          <w:color w:val="000000" w:themeColor="text1"/>
          <w:u w:color="000000" w:themeColor="text1"/>
        </w:rPr>
        <w:tab/>
      </w:r>
      <w:r w:rsidRPr="006169E5">
        <w:rPr>
          <w:color w:val="000000" w:themeColor="text1"/>
          <w:u w:color="000000" w:themeColor="text1"/>
        </w:rPr>
        <w:t>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320(F) of the 1976 Code is amended to read: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t>“(F)</w:t>
      </w:r>
      <w:r w:rsidRPr="006169E5">
        <w:rPr>
          <w:color w:val="000000" w:themeColor="text1"/>
          <w:u w:color="000000" w:themeColor="text1"/>
        </w:rPr>
        <w:tab/>
        <w:t>If a funeral home handling funeral arrangements for a decedent transfers the decedent</w:t>
      </w:r>
      <w:r w:rsidRPr="0090730A">
        <w:rPr>
          <w:color w:val="000000" w:themeColor="text1"/>
          <w:u w:color="000000" w:themeColor="text1"/>
        </w:rPr>
        <w:t>’</w:t>
      </w:r>
      <w:r w:rsidRPr="006169E5">
        <w:rPr>
          <w:color w:val="000000" w:themeColor="text1"/>
          <w:u w:color="000000" w:themeColor="text1"/>
        </w:rPr>
        <w:t>s body to another funeral home solely for cremation purposes, the funeral home performing the cremation may, in good faith, rely on a cremation authorization document executed at the funeral home handling the funeral arrangements</w:t>
      </w:r>
      <w:r w:rsidRPr="006169E5">
        <w:rPr>
          <w:color w:val="000000" w:themeColor="text1"/>
          <w:u w:val="single" w:color="000000" w:themeColor="text1"/>
        </w:rPr>
        <w:t xml:space="preserve">, so long as the funeral home handling the funeral arrangements gives notice to the parties listed in </w:t>
      </w:r>
      <w:r>
        <w:rPr>
          <w:color w:val="000000" w:themeColor="text1"/>
          <w:u w:val="single" w:color="000000" w:themeColor="text1"/>
        </w:rPr>
        <w:t>subsection(A)</w:t>
      </w:r>
      <w:r w:rsidRPr="006169E5">
        <w:rPr>
          <w:color w:val="000000" w:themeColor="text1"/>
          <w:u w:val="single" w:color="000000" w:themeColor="text1"/>
        </w:rPr>
        <w:t xml:space="preserve">(1), (2), </w:t>
      </w:r>
      <w:r>
        <w:rPr>
          <w:color w:val="000000" w:themeColor="text1"/>
          <w:u w:val="single" w:color="000000" w:themeColor="text1"/>
        </w:rPr>
        <w:t>(3), (4), and (5) as required pursuant to</w:t>
      </w:r>
      <w:r w:rsidRPr="006169E5">
        <w:rPr>
          <w:color w:val="000000" w:themeColor="text1"/>
          <w:u w:val="single" w:color="000000" w:themeColor="text1"/>
        </w:rPr>
        <w:t xml:space="preserve">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32</w:t>
      </w:r>
      <w:r>
        <w:rPr>
          <w:color w:val="000000" w:themeColor="text1"/>
          <w:u w:val="single" w:color="000000" w:themeColor="text1"/>
        </w:rPr>
        <w:t>5</w:t>
      </w:r>
      <w:r w:rsidRPr="006169E5">
        <w:rPr>
          <w:color w:val="000000" w:themeColor="text1"/>
          <w:u w:val="single" w:color="000000" w:themeColor="text1"/>
        </w:rPr>
        <w:t>(A)(2)</w:t>
      </w:r>
      <w:r w:rsidRPr="006169E5">
        <w:rPr>
          <w:color w:val="000000" w:themeColor="text1"/>
          <w:u w:color="000000" w:themeColor="text1"/>
        </w:rPr>
        <w:t>.”</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Pr="006169E5">
        <w:rPr>
          <w:color w:val="000000" w:themeColor="text1"/>
          <w:u w:color="000000" w:themeColor="text1"/>
        </w:rPr>
        <w:t>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325(A) of the 1976 Code is amended to read: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A crematory authority shall not cremate human remains until it has received all of the following:</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t>(1)</w:t>
      </w:r>
      <w:r>
        <w:rPr>
          <w:color w:val="000000" w:themeColor="text1"/>
          <w:u w:color="000000" w:themeColor="text1"/>
        </w:rPr>
        <w:tab/>
      </w:r>
      <w:r w:rsidRPr="006169E5">
        <w:rPr>
          <w:color w:val="000000" w:themeColor="text1"/>
          <w:u w:color="000000" w:themeColor="text1"/>
        </w:rPr>
        <w:t xml:space="preserve">An abstract of information from a filed death certificate available on the electronic vital records system or a certified copy of the death certificate; however, if the decedent was pronounced dead during hours the department was not open to the public, a </w:t>
      </w:r>
      <w:r w:rsidRPr="006169E5">
        <w:rPr>
          <w:color w:val="000000" w:themeColor="text1"/>
          <w:u w:color="000000" w:themeColor="text1"/>
        </w:rPr>
        <w:lastRenderedPageBreak/>
        <w:t>completed copy of the death certificate, excluding the signature of the State Registrar of Vital Statistics, signed by the attending physician, coroner, or medical examiner must be provided to the crematory authority; the death certificate signed by the registrar must be filed the next working day of the department and a certified copy must be provided to the crematory authority.</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r>
      <w:r w:rsidRPr="006169E5">
        <w:rPr>
          <w:color w:val="000000" w:themeColor="text1"/>
          <w:u w:color="000000" w:themeColor="text1"/>
        </w:rPr>
        <w:tab/>
        <w:t>(2)</w:t>
      </w:r>
      <w:r>
        <w:rPr>
          <w:color w:val="000000" w:themeColor="text1"/>
          <w:u w:color="000000" w:themeColor="text1"/>
        </w:rPr>
        <w:tab/>
      </w:r>
      <w:r w:rsidRPr="006169E5">
        <w:rPr>
          <w:color w:val="000000" w:themeColor="text1"/>
          <w:u w:val="single" w:color="000000" w:themeColor="text1"/>
        </w:rPr>
        <w:t>Proof that the funeral home handling funeral arrangements gave notice of the impending cremation to the persons listed in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w:t>
      </w:r>
      <w:r>
        <w:rPr>
          <w:color w:val="000000" w:themeColor="text1"/>
          <w:u w:val="single" w:color="000000" w:themeColor="text1"/>
        </w:rPr>
        <w:t xml:space="preserve">20(A)(1), (2), (3), (4), and (5). </w:t>
      </w:r>
      <w:r w:rsidRPr="006169E5">
        <w:rPr>
          <w:color w:val="000000" w:themeColor="text1"/>
          <w:u w:val="single" w:color="000000" w:themeColor="text1"/>
        </w:rPr>
        <w:t>Notice to the persons listed in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320</w:t>
      </w:r>
      <w:r>
        <w:rPr>
          <w:color w:val="000000" w:themeColor="text1"/>
          <w:u w:val="single" w:color="000000" w:themeColor="text1"/>
        </w:rPr>
        <w:t>(A)</w:t>
      </w:r>
      <w:r w:rsidRPr="006169E5">
        <w:rPr>
          <w:color w:val="000000" w:themeColor="text1"/>
          <w:u w:val="single" w:color="000000" w:themeColor="text1"/>
        </w:rPr>
        <w:t>(1), (2), (3), (4), and (5) is sufficient</w:t>
      </w:r>
      <w:r>
        <w:rPr>
          <w:color w:val="000000" w:themeColor="text1"/>
          <w:u w:val="single" w:color="000000" w:themeColor="text1"/>
        </w:rPr>
        <w:t xml:space="preserve"> </w:t>
      </w:r>
      <w:r w:rsidRPr="006169E5">
        <w:rPr>
          <w:color w:val="000000" w:themeColor="text1"/>
          <w:u w:val="single" w:color="000000" w:themeColor="text1"/>
        </w:rPr>
        <w:t xml:space="preserve">by </w:t>
      </w:r>
      <w:r>
        <w:rPr>
          <w:color w:val="000000" w:themeColor="text1"/>
          <w:u w:val="single" w:color="000000" w:themeColor="text1"/>
        </w:rPr>
        <w:t xml:space="preserve">the </w:t>
      </w:r>
      <w:r w:rsidRPr="006169E5">
        <w:rPr>
          <w:color w:val="000000" w:themeColor="text1"/>
          <w:u w:val="single" w:color="000000" w:themeColor="text1"/>
        </w:rPr>
        <w:t>United States Postal Service</w:t>
      </w:r>
      <w:r>
        <w:rPr>
          <w:color w:val="000000" w:themeColor="text1"/>
          <w:u w:val="single" w:color="000000" w:themeColor="text1"/>
        </w:rPr>
        <w:t xml:space="preserve"> regulations</w:t>
      </w:r>
      <w:r w:rsidRPr="006169E5">
        <w:rPr>
          <w:color w:val="000000" w:themeColor="text1"/>
          <w:u w:val="single" w:color="000000" w:themeColor="text1"/>
        </w:rPr>
        <w:t>, proper postage affixed, to their last known address, or electronic communication methods.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val="single" w:color="000000" w:themeColor="text1"/>
        </w:rPr>
        <w:t>(3)</w:t>
      </w:r>
      <w:r w:rsidRPr="00993BFF">
        <w:rPr>
          <w:color w:val="000000" w:themeColor="text1"/>
          <w:u w:color="000000" w:themeColor="text1"/>
        </w:rPr>
        <w:tab/>
      </w:r>
      <w:r w:rsidRPr="006169E5">
        <w:rPr>
          <w:color w:val="000000" w:themeColor="text1"/>
          <w:u w:color="000000" w:themeColor="text1"/>
        </w:rPr>
        <w:t>A cremation authorization on a form prescribed by the board and executed by the decedent on a preneed basis or executed by the decedent</w:t>
      </w:r>
      <w:r w:rsidRPr="0090730A">
        <w:rPr>
          <w:color w:val="000000" w:themeColor="text1"/>
          <w:u w:color="000000" w:themeColor="text1"/>
        </w:rPr>
        <w:t>’</w:t>
      </w:r>
      <w:r w:rsidRPr="006169E5">
        <w:rPr>
          <w:color w:val="000000" w:themeColor="text1"/>
          <w:u w:color="000000" w:themeColor="text1"/>
        </w:rPr>
        <w:t>s agent and which contains: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the identity of the human remains and the date and time of death;</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169E5">
        <w:rPr>
          <w:color w:val="000000" w:themeColor="text1"/>
          <w:u w:color="000000" w:themeColor="text1"/>
        </w:rPr>
        <w:t>the name of the funeral director or funeral establishment responsible for obtaining the authorization;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169E5">
        <w:rPr>
          <w:color w:val="000000" w:themeColor="text1"/>
          <w:u w:color="000000" w:themeColor="text1"/>
        </w:rPr>
        <w:t>the notification of infectious, contagious, or communicable disease or a disease declared by the department to be dangerous to the public health;</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169E5">
        <w:rPr>
          <w:color w:val="000000" w:themeColor="text1"/>
          <w:u w:color="000000" w:themeColor="text1"/>
        </w:rPr>
        <w:t>the name, address, and phone number of the agent and the relationship between the agent and the decedent;</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169E5">
        <w:rPr>
          <w:color w:val="000000" w:themeColor="text1"/>
          <w:u w:color="000000" w:themeColor="text1"/>
        </w:rPr>
        <w:t>a statement that the agent has the right to authorize the cremation of the decedent, as provided for in 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320 and that the agent is not aware of a person who has a superior priority right to that of the agent or is not aware of a person of equal priority who disagrees with authorizing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169E5">
        <w:rPr>
          <w:color w:val="000000" w:themeColor="text1"/>
          <w:u w:color="000000" w:themeColor="text1"/>
        </w:rPr>
        <w:t>authorization from the agent and the funeral director or funeral establishment for the crematory authority to perform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(g)</w:t>
      </w:r>
      <w:r>
        <w:rPr>
          <w:color w:val="000000" w:themeColor="text1"/>
          <w:u w:color="000000" w:themeColor="text1"/>
        </w:rPr>
        <w:tab/>
      </w:r>
      <w:r w:rsidRPr="006169E5">
        <w:rPr>
          <w:color w:val="000000" w:themeColor="text1"/>
          <w:u w:color="000000" w:themeColor="text1"/>
        </w:rPr>
        <w:t>a statement that, to the best of the agent</w:t>
      </w:r>
      <w:r w:rsidRPr="0090730A">
        <w:rPr>
          <w:color w:val="000000" w:themeColor="text1"/>
          <w:u w:color="000000" w:themeColor="text1"/>
        </w:rPr>
        <w:t>’</w:t>
      </w:r>
      <w:r w:rsidRPr="006169E5">
        <w:rPr>
          <w:color w:val="000000" w:themeColor="text1"/>
          <w:u w:color="000000" w:themeColor="text1"/>
        </w:rPr>
        <w:t>s knowledge, the human remains do not contain a pacemaker or any other material or implant that may be hazardous or cause damage to the cremation chamber or the person performing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(h)</w:t>
      </w:r>
      <w:r>
        <w:rPr>
          <w:color w:val="000000" w:themeColor="text1"/>
          <w:u w:color="000000" w:themeColor="text1"/>
        </w:rPr>
        <w:tab/>
      </w:r>
      <w:r w:rsidRPr="006169E5">
        <w:rPr>
          <w:color w:val="000000" w:themeColor="text1"/>
          <w:u w:color="000000" w:themeColor="text1"/>
        </w:rPr>
        <w:t>the name of the agent or funeral establishment authorized to receive the cremated remains;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6169E5">
        <w:rPr>
          <w:color w:val="000000" w:themeColor="text1"/>
          <w:u w:color="000000" w:themeColor="text1"/>
        </w:rPr>
        <w:t xml:space="preserve">the method by which disposition of the cremated remains is to take place, if known. If the authorization form does not specify final disposition in a grave, crypt, niche, or scattering area, the form may indicate that the cremated remains are to be held by </w:t>
      </w:r>
      <w:r w:rsidRPr="006169E5">
        <w:rPr>
          <w:color w:val="000000" w:themeColor="text1"/>
          <w:u w:color="000000" w:themeColor="text1"/>
        </w:rPr>
        <w:lastRenderedPageBreak/>
        <w:t>the crematory authority for thirty days before they are released, unless they are picked up by or shipped to the agent or funeral establishment before that time. At the end of thirty days, if final disposition arrangements have not been made, the crematory authority may return the cremated remains to the agent, crematory authority, or funeral establishment. If at the end of sixty days no final disposition arrangements have been made, the crematory authority or funeral establishment in charge of arrangements may dispose of the cremated remains in accordance with 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345(D);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6169E5">
        <w:rPr>
          <w:color w:val="000000" w:themeColor="text1"/>
          <w:u w:color="000000" w:themeColor="text1"/>
        </w:rPr>
        <w:t>a listing of items of value to be delivered to the crematory authority with the human remains and instructions as to how the items should be handled;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(k)</w:t>
      </w:r>
      <w:r>
        <w:rPr>
          <w:color w:val="000000" w:themeColor="text1"/>
          <w:u w:color="000000" w:themeColor="text1"/>
        </w:rPr>
        <w:tab/>
      </w:r>
      <w:r w:rsidRPr="006169E5">
        <w:rPr>
          <w:color w:val="000000" w:themeColor="text1"/>
          <w:u w:color="000000" w:themeColor="text1"/>
        </w:rPr>
        <w:t>a specific statement authorizing the crematory authority to proceed with the cremation upon receipt of the human remains;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6169E5">
        <w:rPr>
          <w:color w:val="000000" w:themeColor="text1"/>
          <w:u w:color="000000" w:themeColor="text1"/>
        </w:rPr>
        <w:t>the signature of the decedent</w:t>
      </w:r>
      <w:r w:rsidRPr="0090730A">
        <w:rPr>
          <w:color w:val="000000" w:themeColor="text1"/>
          <w:u w:color="000000" w:themeColor="text1"/>
        </w:rPr>
        <w:t>’</w:t>
      </w:r>
      <w:r w:rsidRPr="006169E5">
        <w:rPr>
          <w:color w:val="000000" w:themeColor="text1"/>
          <w:u w:color="000000" w:themeColor="text1"/>
        </w:rPr>
        <w:t>s agent attesting to the accuracy of all statements contained on the cremation authorization form.</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(3)</w:t>
      </w:r>
      <w:r w:rsidRPr="006169E5">
        <w:rPr>
          <w:color w:val="000000" w:themeColor="text1"/>
          <w:u w:val="single" w:color="000000" w:themeColor="text1"/>
        </w:rPr>
        <w:t>(4)</w:t>
      </w:r>
      <w:r>
        <w:rPr>
          <w:color w:val="000000" w:themeColor="text1"/>
          <w:u w:color="000000" w:themeColor="text1"/>
        </w:rPr>
        <w:tab/>
      </w:r>
      <w:r w:rsidRPr="006169E5">
        <w:rPr>
          <w:color w:val="000000" w:themeColor="text1"/>
          <w:u w:color="000000" w:themeColor="text1"/>
        </w:rPr>
        <w:t>Completed and executed burial transit permit in accordance with Regulation 61</w:t>
      </w:r>
      <w:r>
        <w:rPr>
          <w:color w:val="000000" w:themeColor="text1"/>
          <w:u w:color="000000" w:themeColor="text1"/>
        </w:rPr>
        <w:noBreakHyphen/>
      </w:r>
      <w:r w:rsidRPr="006169E5">
        <w:rPr>
          <w:color w:val="000000" w:themeColor="text1"/>
          <w:u w:color="000000" w:themeColor="text1"/>
        </w:rPr>
        <w:t>19, Section 23.</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(4)</w:t>
      </w:r>
      <w:r w:rsidRPr="00B05734">
        <w:rPr>
          <w:color w:val="000000" w:themeColor="text1"/>
          <w:u w:val="single" w:color="000000" w:themeColor="text1"/>
        </w:rPr>
        <w:t>(5)</w:t>
      </w:r>
      <w:r>
        <w:rPr>
          <w:color w:val="000000" w:themeColor="text1"/>
          <w:u w:color="000000" w:themeColor="text1"/>
        </w:rPr>
        <w:tab/>
      </w:r>
      <w:r w:rsidRPr="006169E5">
        <w:rPr>
          <w:color w:val="000000" w:themeColor="text1"/>
          <w:u w:color="000000" w:themeColor="text1"/>
        </w:rPr>
        <w:t>A cremation permit obtained in accordance with Section 17</w:t>
      </w:r>
      <w:r>
        <w:rPr>
          <w:color w:val="000000" w:themeColor="text1"/>
          <w:u w:color="000000" w:themeColor="text1"/>
        </w:rPr>
        <w:noBreakHyphen/>
      </w:r>
      <w:r w:rsidRPr="006169E5">
        <w:rPr>
          <w:color w:val="000000" w:themeColor="text1"/>
          <w:u w:color="000000" w:themeColor="text1"/>
        </w:rPr>
        <w:t>5</w:t>
      </w:r>
      <w:r>
        <w:rPr>
          <w:color w:val="000000" w:themeColor="text1"/>
          <w:u w:color="000000" w:themeColor="text1"/>
        </w:rPr>
        <w:noBreakHyphen/>
      </w:r>
      <w:r w:rsidRPr="006169E5">
        <w:rPr>
          <w:color w:val="000000" w:themeColor="text1"/>
          <w:u w:color="000000" w:themeColor="text1"/>
        </w:rPr>
        <w:t>600 or Section 17</w:t>
      </w:r>
      <w:r>
        <w:rPr>
          <w:color w:val="000000" w:themeColor="text1"/>
          <w:u w:color="000000" w:themeColor="text1"/>
        </w:rPr>
        <w:noBreakHyphen/>
      </w:r>
      <w:r w:rsidRPr="006169E5">
        <w:rPr>
          <w:color w:val="000000" w:themeColor="text1"/>
          <w:u w:color="000000" w:themeColor="text1"/>
        </w:rPr>
        <w:t>5</w:t>
      </w:r>
      <w:r>
        <w:rPr>
          <w:color w:val="000000" w:themeColor="text1"/>
          <w:u w:color="000000" w:themeColor="text1"/>
        </w:rPr>
        <w:noBreakHyphen/>
      </w:r>
      <w:r w:rsidRPr="006169E5">
        <w:rPr>
          <w:color w:val="000000" w:themeColor="text1"/>
          <w:u w:color="000000" w:themeColor="text1"/>
        </w:rPr>
        <w:t>610.”</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Pr="006169E5">
        <w:rPr>
          <w:color w:val="000000" w:themeColor="text1"/>
          <w:u w:color="000000" w:themeColor="text1"/>
        </w:rPr>
        <w:tab/>
        <w:t>3.</w:t>
      </w:r>
      <w:r w:rsidRPr="006169E5">
        <w:rPr>
          <w:color w:val="000000" w:themeColor="text1"/>
          <w:u w:color="000000" w:themeColor="text1"/>
        </w:rPr>
        <w:tab/>
        <w:t>This act takes effect upon approval by the Governor.</w:t>
      </w:r>
    </w:p>
    <w:p w:rsidR="00AC0D9B" w:rsidRDefault="00907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B3C" w:rsidRDefault="007B3B3C" w:rsidP="007B3B3C">
      <w:pPr>
        <w:suppressAutoHyphens/>
      </w:pPr>
    </w:p>
    <w:sectPr w:rsidR="007B3B3C" w:rsidSect="007B3B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95D" w:rsidRDefault="00A7695D" w:rsidP="009F0C77">
      <w:r>
        <w:separator/>
      </w:r>
    </w:p>
  </w:endnote>
  <w:endnote w:type="continuationSeparator" w:id="0">
    <w:p w:rsidR="00A7695D" w:rsidRDefault="00A76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C280B0-52A2-4B56-97BE-8567182FB067}"/>
    <w:embedBold r:id="rId2" w:fontKey="{49BA406C-F655-4B72-8C2A-D53409F348F1}"/>
  </w:font>
  <w:font w:name="Calibri">
    <w:panose1 w:val="020F0502020204030204"/>
    <w:charset w:val="00"/>
    <w:family w:val="swiss"/>
    <w:pitch w:val="variable"/>
    <w:sig w:usb0="E4002EFF" w:usb1="C000247B" w:usb2="00000009" w:usb3="00000000" w:csb0="000001FF" w:csb1="00000000"/>
    <w:embedRegular r:id="rId3" w:fontKey="{B16CBF27-0B69-4F1C-B366-651A96498E3B}"/>
  </w:font>
  <w:font w:name="Segoe UI">
    <w:panose1 w:val="020B0502040204020203"/>
    <w:charset w:val="00"/>
    <w:family w:val="swiss"/>
    <w:pitch w:val="variable"/>
    <w:sig w:usb0="E4002EFF" w:usb1="C000E47F" w:usb2="00000009" w:usb3="00000000" w:csb0="000001FF" w:csb1="00000000"/>
    <w:embedRegular r:id="rId4" w:fontKey="{A4304507-2D09-4285-BA5E-BB4C4F4AF959}"/>
  </w:font>
  <w:font w:name="Cambria">
    <w:panose1 w:val="02040503050406030204"/>
    <w:charset w:val="00"/>
    <w:family w:val="roman"/>
    <w:pitch w:val="variable"/>
    <w:sig w:usb0="E00006FF" w:usb1="420024FF" w:usb2="02000000" w:usb3="00000000" w:csb0="0000019F" w:csb1="00000000"/>
    <w:embedRegular r:id="rId5" w:fontKey="{FDEAB0CA-69F5-4EDE-9C41-F6FE009CF2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D9B" w:rsidRPr="007B3B3C" w:rsidRDefault="007B3B3C" w:rsidP="007B3B3C">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95D" w:rsidRDefault="00A7695D" w:rsidP="009F0C77">
      <w:r>
        <w:separator/>
      </w:r>
    </w:p>
  </w:footnote>
  <w:footnote w:type="continuationSeparator" w:id="0">
    <w:p w:rsidR="00A7695D" w:rsidRDefault="00A76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9PH21"/>
    <w:docVar w:name="CoverBillType" w:val="b"/>
    <w:docVar w:name="DocPath" w:val="L:\Council\bills\JN\3269PH21.DOCX"/>
    <w:docVar w:name="dvBillNumber" w:val="3185"/>
    <w:docVar w:name="dvBillNumberPrefix" w:val="H. "/>
    <w:docVar w:name="dvOriginalBody" w:val="House"/>
    <w:docVar w:name="dvSteno" w:val="JN"/>
    <w:docVar w:name="NameofBody" w:val="h"/>
    <w:docVar w:name="vGroup2" w:val="Council"/>
  </w:docVars>
  <w:rsids>
    <w:rsidRoot w:val="00A769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3B3C"/>
    <w:rsid w:val="007C79CC"/>
    <w:rsid w:val="007E6D8B"/>
    <w:rsid w:val="008362E8"/>
    <w:rsid w:val="0085786E"/>
    <w:rsid w:val="008A1768"/>
    <w:rsid w:val="008A489F"/>
    <w:rsid w:val="008F0F33"/>
    <w:rsid w:val="008F4429"/>
    <w:rsid w:val="0090730A"/>
    <w:rsid w:val="00920041"/>
    <w:rsid w:val="0094021A"/>
    <w:rsid w:val="009B44AF"/>
    <w:rsid w:val="009C6A0B"/>
    <w:rsid w:val="009F0C77"/>
    <w:rsid w:val="009F4DD1"/>
    <w:rsid w:val="00A02543"/>
    <w:rsid w:val="00A41684"/>
    <w:rsid w:val="00A64E80"/>
    <w:rsid w:val="00A72BCD"/>
    <w:rsid w:val="00A741D9"/>
    <w:rsid w:val="00A7695D"/>
    <w:rsid w:val="00A833AB"/>
    <w:rsid w:val="00A9741D"/>
    <w:rsid w:val="00AC0D9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A5CD6-AA1F-4A2D-9FAC-803619A9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3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09E67-2D5C-4F41-B489-1972BC52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4212</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3185 Text of Previous Version (Dec. 9, 2020) - South Carolina Legislature Online</dc:title>
  <dc:creator>Julie Newboult</dc:creator>
  <cp:lastModifiedBy>Sade Wilson</cp:lastModifiedBy>
  <cp:revision>2</cp:revision>
  <cp:lastPrinted>2020-11-17T15:56:00Z</cp:lastPrinted>
  <dcterms:created xsi:type="dcterms:W3CDTF">2020-12-11T22:42:00Z</dcterms:created>
  <dcterms:modified xsi:type="dcterms:W3CDTF">2020-12-11T22:42:00Z</dcterms:modified>
</cp:coreProperties>
</file>