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46B"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905" w:rsidRP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Default="00D332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E37905" w:rsidRDefault="00D332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E37905">
        <w:t>, 2022</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Pr="00E37905" w:rsidRDefault="00E37905" w:rsidP="00E37905">
      <w:pPr>
        <w:tabs>
          <w:tab w:val="right" w:pos="5933"/>
        </w:tabs>
        <w:suppressAutoHyphens/>
      </w:pPr>
      <w:r>
        <w:tab/>
      </w:r>
      <w:r>
        <w:rPr>
          <w:b/>
          <w:sz w:val="36"/>
        </w:rPr>
        <w:t>H. 3247</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B. Cox, V.S. Moss, Yow, Huggins, Erickson, Bradley, Allison, Felder, B. Newton, W. Newton, Herbkersman, Ballentine, Davis, Weeks, McGarry, White, W. Cox, R. Williams, Blackwell, Crawford, Fry and Hixon</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Default="00D332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E37905">
        <w:t>/22--S.</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E37905" w:rsidRP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P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905" w:rsidSect="00555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6ABA" w:rsidRDefault="000B6A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5C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 ENACT THE “WORKFORCE ENHANCEMENT AND MILITARY RECOGNITION ACT”; TO AMEND SECTION 12</w:t>
      </w:r>
      <w:r w:rsidR="00371933">
        <w:rPr>
          <w:color w:val="000000" w:themeColor="text1"/>
          <w:u w:color="000000" w:themeColor="text1"/>
        </w:rPr>
        <w:noBreakHyphen/>
      </w:r>
      <w:r>
        <w:rPr>
          <w:color w:val="000000" w:themeColor="text1"/>
          <w:u w:color="000000" w:themeColor="text1"/>
        </w:rPr>
        <w:t>6</w:t>
      </w:r>
      <w:r w:rsidR="00371933">
        <w:rPr>
          <w:color w:val="000000" w:themeColor="text1"/>
          <w:u w:color="000000" w:themeColor="text1"/>
        </w:rPr>
        <w:noBreakHyphen/>
      </w:r>
      <w:r>
        <w:rPr>
          <w:color w:val="000000" w:themeColor="text1"/>
          <w:u w:color="000000" w:themeColor="text1"/>
        </w:rPr>
        <w:t>1171, RELATING TO THE MILITARY RETIREMENT INCOME DEDUCTION, SO AS TO PHASE</w:t>
      </w:r>
      <w:r w:rsidR="00371933">
        <w:rPr>
          <w:color w:val="000000" w:themeColor="text1"/>
          <w:u w:color="000000" w:themeColor="text1"/>
        </w:rPr>
        <w:noBreakHyphen/>
      </w:r>
      <w:r>
        <w:rPr>
          <w:color w:val="000000" w:themeColor="text1"/>
          <w:u w:color="000000" w:themeColor="text1"/>
        </w:rPr>
        <w:t>IN THE REMOVAL OF CERTAIN LIMITS.</w:t>
      </w:r>
      <w:bookmarkEnd w:id="1"/>
    </w:p>
    <w:p w:rsidR="00D2119E" w:rsidRDefault="00D3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33204" w:rsidRDefault="00D3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t>This act</w:t>
      </w:r>
      <w:r>
        <w:rPr>
          <w:color w:val="000000" w:themeColor="text1"/>
          <w:u w:color="000000" w:themeColor="text1"/>
        </w:rPr>
        <w:t xml:space="preserve"> shall be known and </w:t>
      </w:r>
      <w:r w:rsidRPr="00185D1A">
        <w:rPr>
          <w:color w:val="000000" w:themeColor="text1"/>
          <w:u w:color="000000" w:themeColor="text1"/>
        </w:rPr>
        <w:t>may be cited</w:t>
      </w:r>
      <w:r>
        <w:rPr>
          <w:color w:val="000000" w:themeColor="text1"/>
          <w:u w:color="000000" w:themeColor="text1"/>
        </w:rPr>
        <w:t xml:space="preserve"> </w:t>
      </w:r>
      <w:r w:rsidRPr="00185D1A">
        <w:rPr>
          <w:color w:val="000000" w:themeColor="text1"/>
          <w:u w:color="000000" w:themeColor="text1"/>
        </w:rPr>
        <w:t>as the “Workforce Enhancement and Military Recognition Act”.</w:t>
      </w: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rPr>
          <w:u w:color="000000" w:themeColor="text1"/>
        </w:rPr>
        <w:t>SECTION</w:t>
      </w:r>
      <w:r w:rsidRPr="00554DB0">
        <w:rPr>
          <w:u w:color="000000" w:themeColor="text1"/>
        </w:rPr>
        <w:tab/>
        <w:t xml:space="preserve">2. </w:t>
      </w:r>
      <w:r w:rsidRPr="00554DB0">
        <w:rPr>
          <w:u w:color="000000" w:themeColor="text1"/>
        </w:rPr>
        <w:tab/>
        <w:t>Section 12</w:t>
      </w:r>
      <w:r w:rsidRPr="00554DB0">
        <w:rPr>
          <w:u w:color="000000" w:themeColor="text1"/>
        </w:rPr>
        <w:noBreakHyphen/>
        <w:t>6</w:t>
      </w:r>
      <w:r w:rsidRPr="00554DB0">
        <w:rPr>
          <w:u w:color="000000" w:themeColor="text1"/>
        </w:rPr>
        <w:noBreakHyphen/>
        <w:t>1171(A) of the 1976 Code is amended to read:</w:t>
      </w: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tab/>
        <w:t>“</w:t>
      </w:r>
      <w:r w:rsidRPr="00554DB0">
        <w:rPr>
          <w:u w:color="000000" w:themeColor="text1"/>
        </w:rPr>
        <w:t>(A)</w:t>
      </w:r>
      <w:r w:rsidRPr="00554DB0">
        <w:rPr>
          <w:strike/>
          <w:u w:color="000000" w:themeColor="text1"/>
        </w:rPr>
        <w:t>(1)</w:t>
      </w:r>
      <w:r w:rsidRPr="00554DB0">
        <w:rPr>
          <w:u w:color="000000" w:themeColor="text1"/>
        </w:rPr>
        <w:tab/>
        <w:t xml:space="preserve">An individual taxpayer </w:t>
      </w:r>
      <w:r w:rsidRPr="00554DB0">
        <w:rPr>
          <w:strike/>
          <w:u w:color="000000" w:themeColor="text1"/>
        </w:rPr>
        <w:t>who has</w:t>
      </w:r>
      <w:r w:rsidRPr="00554DB0">
        <w:rPr>
          <w:u w:color="000000" w:themeColor="text1"/>
        </w:rPr>
        <w:t xml:space="preserve"> </w:t>
      </w:r>
      <w:r w:rsidRPr="00554DB0">
        <w:rPr>
          <w:u w:val="single" w:color="000000" w:themeColor="text1"/>
        </w:rPr>
        <w:t>may deduct all</w:t>
      </w:r>
      <w:r w:rsidRPr="00554DB0">
        <w:rPr>
          <w:u w:color="000000" w:themeColor="text1"/>
        </w:rPr>
        <w:t xml:space="preserve"> military retirement income</w:t>
      </w:r>
      <w:r w:rsidRPr="00554DB0">
        <w:rPr>
          <w:strike/>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554DB0">
        <w:rPr>
          <w:strike/>
          <w:u w:color="000000" w:themeColor="text1"/>
        </w:rPr>
        <w:noBreakHyphen/>
        <w:t>6</w:t>
      </w:r>
      <w:r w:rsidRPr="00554DB0">
        <w:rPr>
          <w:strike/>
          <w:u w:color="000000" w:themeColor="text1"/>
        </w:rPr>
        <w:noBreakHyphen/>
        <w:t>3330.</w:t>
      </w: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DB0">
        <w:rPr>
          <w:u w:color="000000" w:themeColor="text1"/>
        </w:rPr>
        <w:tab/>
      </w:r>
      <w:r w:rsidRPr="00554DB0">
        <w:rPr>
          <w:u w:color="000000" w:themeColor="text1"/>
        </w:rPr>
        <w:tab/>
      </w:r>
      <w:r w:rsidRPr="00554DB0">
        <w:rPr>
          <w:strike/>
          <w:u w:color="000000" w:themeColor="text1"/>
        </w:rPr>
        <w:t>(2)</w:t>
      </w:r>
      <w:r w:rsidRPr="00554DB0">
        <w:rPr>
          <w:u w:color="000000" w:themeColor="text1"/>
        </w:rPr>
        <w:tab/>
      </w:r>
      <w:r w:rsidRPr="00554DB0">
        <w:rPr>
          <w:strike/>
          <w:u w:color="000000" w:themeColor="text1"/>
        </w:rPr>
        <w:t>Notwithstanding item (1), beginning in the year in which an individual taxpayer reaches age sixty</w:t>
      </w:r>
      <w:r w:rsidRPr="00554DB0">
        <w:rPr>
          <w:strike/>
          <w:u w:color="000000" w:themeColor="text1"/>
        </w:rPr>
        <w:noBreakHyphen/>
        <w:t xml:space="preserve">five, an individual taxpayer who has military retirement income may deduct up to thirty </w:t>
      </w:r>
      <w:r w:rsidRPr="00554DB0">
        <w:rPr>
          <w:strike/>
          <w:u w:color="000000" w:themeColor="text1"/>
        </w:rPr>
        <w:lastRenderedPageBreak/>
        <w:t>thousand dollars of military retirement income</w:t>
      </w:r>
      <w:r w:rsidRPr="00554DB0">
        <w:rPr>
          <w:u w:color="000000" w:themeColor="text1"/>
        </w:rPr>
        <w:t xml:space="preserve"> that is included in South Carolina taxable income.”</w:t>
      </w:r>
    </w:p>
    <w:p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119E" w:rsidRPr="00554DB0" w:rsidRDefault="00D33204"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74B6">
        <w:rPr>
          <w:u w:color="000000" w:themeColor="text1"/>
        </w:rPr>
        <w:t>SECTION 3.</w:t>
      </w:r>
      <w:r w:rsidRPr="00F674B6">
        <w:rPr>
          <w:u w:color="000000" w:themeColor="text1"/>
        </w:rPr>
        <w:tab/>
        <w:t>This act takes effect upon approval by the Governor and first applies to tax years beginning after 2026</w:t>
      </w:r>
      <w:r w:rsidR="00D2119E" w:rsidRPr="00F674B6">
        <w:rPr>
          <w:u w:color="000000" w:themeColor="text1"/>
        </w:rPr>
        <w:t>.</w:t>
      </w:r>
    </w:p>
    <w:p w:rsidR="00690BF8" w:rsidRDefault="003719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D5B" w:rsidRDefault="00D24D5B" w:rsidP="00D24D5B">
      <w:pPr>
        <w:suppressAutoHyphens/>
      </w:pPr>
    </w:p>
    <w:sectPr w:rsidR="00D24D5B" w:rsidSect="00555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CA2" w:rsidRDefault="00565CA2" w:rsidP="009F0C77">
      <w:r>
        <w:separator/>
      </w:r>
    </w:p>
  </w:endnote>
  <w:endnote w:type="continuationSeparator" w:id="0">
    <w:p w:rsidR="00565CA2" w:rsidRDefault="00565C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E208AB-BC63-4AF9-BC5C-B539CF0A7E97}"/>
    <w:embedBold r:id="rId2" w:fontKey="{7CD4DB7F-AACC-4CF6-9FF9-6B5D90086FB4}"/>
  </w:font>
  <w:font w:name="Calibri">
    <w:panose1 w:val="020F0502020204030204"/>
    <w:charset w:val="00"/>
    <w:family w:val="swiss"/>
    <w:pitch w:val="variable"/>
    <w:sig w:usb0="E4002EFF" w:usb1="C000247B" w:usb2="00000009" w:usb3="00000000" w:csb0="000001FF" w:csb1="00000000"/>
    <w:embedRegular r:id="rId3" w:fontKey="{93307D1D-214A-459F-9DEC-E2F8FE9195DD}"/>
  </w:font>
  <w:font w:name="Segoe UI">
    <w:panose1 w:val="020B0502040204020203"/>
    <w:charset w:val="00"/>
    <w:family w:val="swiss"/>
    <w:pitch w:val="variable"/>
    <w:sig w:usb0="E4002EFF" w:usb1="C000E47F" w:usb2="00000009" w:usb3="00000000" w:csb0="000001FF" w:csb1="00000000"/>
    <w:embedRegular r:id="rId4" w:fontKey="{60ACDC5E-7BD8-44E7-B6AE-DB7D2D463B4B}"/>
  </w:font>
  <w:font w:name="Cambria">
    <w:panose1 w:val="02040503050406030204"/>
    <w:charset w:val="00"/>
    <w:family w:val="roman"/>
    <w:pitch w:val="variable"/>
    <w:sig w:usb0="E00006FF" w:usb1="420024FF" w:usb2="02000000" w:usb3="00000000" w:csb0="0000019F" w:csb1="00000000"/>
    <w:embedRegular r:id="rId5" w:fontKey="{0393D967-E267-4AD4-99B3-3546770FA7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F8" w:rsidRPr="000B6ABA" w:rsidRDefault="000B6ABA" w:rsidP="000B6ABA">
    <w:pPr>
      <w:pStyle w:val="Footer"/>
      <w:tabs>
        <w:tab w:val="clear" w:pos="4680"/>
        <w:tab w:val="clear" w:pos="9360"/>
        <w:tab w:val="center" w:pos="2995"/>
      </w:tabs>
      <w:spacing w:before="120"/>
    </w:pPr>
    <w:r>
      <w:t>[3247</w:t>
    </w:r>
    <w:r w:rsidR="0055546B">
      <w:t>-</w:t>
    </w:r>
    <w:r w:rsidR="0055546B">
      <w:fldChar w:fldCharType="begin"/>
    </w:r>
    <w:r w:rsidR="0055546B">
      <w:instrText xml:space="preserve"> PAGE  \* MERGEFORMAT </w:instrText>
    </w:r>
    <w:r w:rsidR="0055546B">
      <w:fldChar w:fldCharType="separate"/>
    </w:r>
    <w:r w:rsidR="003624B5">
      <w:rPr>
        <w:noProof/>
      </w:rPr>
      <w:t>1</w:t>
    </w:r>
    <w:r w:rsidR="0055546B">
      <w:fldChar w:fldCharType="end"/>
    </w:r>
    <w:r w:rsidR="005554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6B" w:rsidRPr="000B6ABA" w:rsidRDefault="0055546B" w:rsidP="000B6ABA">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D24D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CA2" w:rsidRDefault="00565CA2" w:rsidP="009F0C77">
      <w:r>
        <w:separator/>
      </w:r>
    </w:p>
  </w:footnote>
  <w:footnote w:type="continuationSeparator" w:id="0">
    <w:p w:rsidR="00565CA2" w:rsidRDefault="00565C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DG21"/>
    <w:docVar w:name="CoverBillType" w:val="b"/>
    <w:docVar w:name="DocPath" w:val="L:\Council\bills\NBD\11095DG21.DOCX"/>
    <w:docVar w:name="dvBillNumber" w:val="3247"/>
    <w:docVar w:name="dvBillNumberPrefix" w:val="H. "/>
    <w:docVar w:name="dvOriginalBody" w:val="House"/>
    <w:docVar w:name="dvSteno" w:val="NBD"/>
    <w:docVar w:name="NameofBody" w:val="h"/>
    <w:docVar w:name="vGroup2" w:val="Council"/>
  </w:docVars>
  <w:rsids>
    <w:rsidRoot w:val="00565CA2"/>
    <w:rsid w:val="00011869"/>
    <w:rsid w:val="00015CD6"/>
    <w:rsid w:val="000B6A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16C"/>
    <w:rsid w:val="002E25A2"/>
    <w:rsid w:val="002E5912"/>
    <w:rsid w:val="00301B21"/>
    <w:rsid w:val="00325348"/>
    <w:rsid w:val="0032732C"/>
    <w:rsid w:val="00336AD0"/>
    <w:rsid w:val="003624B5"/>
    <w:rsid w:val="0037079A"/>
    <w:rsid w:val="00371933"/>
    <w:rsid w:val="003C4DAB"/>
    <w:rsid w:val="003C5BE6"/>
    <w:rsid w:val="003D01E8"/>
    <w:rsid w:val="003E5288"/>
    <w:rsid w:val="003F6D79"/>
    <w:rsid w:val="0041760A"/>
    <w:rsid w:val="00417C01"/>
    <w:rsid w:val="004403BD"/>
    <w:rsid w:val="00446BCF"/>
    <w:rsid w:val="00461441"/>
    <w:rsid w:val="004809EE"/>
    <w:rsid w:val="004E601B"/>
    <w:rsid w:val="004E7D54"/>
    <w:rsid w:val="00500377"/>
    <w:rsid w:val="005273C6"/>
    <w:rsid w:val="00530A69"/>
    <w:rsid w:val="00545593"/>
    <w:rsid w:val="0055546B"/>
    <w:rsid w:val="00556EBF"/>
    <w:rsid w:val="00565CA2"/>
    <w:rsid w:val="00577C6C"/>
    <w:rsid w:val="005A62FE"/>
    <w:rsid w:val="005C2FE2"/>
    <w:rsid w:val="005E2BC9"/>
    <w:rsid w:val="00605102"/>
    <w:rsid w:val="006215AA"/>
    <w:rsid w:val="00690BF8"/>
    <w:rsid w:val="006913C9"/>
    <w:rsid w:val="0069470D"/>
    <w:rsid w:val="006D58AA"/>
    <w:rsid w:val="00734F00"/>
    <w:rsid w:val="00736959"/>
    <w:rsid w:val="007A70AE"/>
    <w:rsid w:val="008362E8"/>
    <w:rsid w:val="0085786E"/>
    <w:rsid w:val="008A1768"/>
    <w:rsid w:val="008A489F"/>
    <w:rsid w:val="008F0F33"/>
    <w:rsid w:val="008F1270"/>
    <w:rsid w:val="008F4429"/>
    <w:rsid w:val="0094021A"/>
    <w:rsid w:val="009B44AF"/>
    <w:rsid w:val="009C6A0B"/>
    <w:rsid w:val="009F0C77"/>
    <w:rsid w:val="009F4DD1"/>
    <w:rsid w:val="00A02543"/>
    <w:rsid w:val="00A41684"/>
    <w:rsid w:val="00A64E80"/>
    <w:rsid w:val="00A72BCD"/>
    <w:rsid w:val="00A73110"/>
    <w:rsid w:val="00A741D9"/>
    <w:rsid w:val="00A833AB"/>
    <w:rsid w:val="00A9741D"/>
    <w:rsid w:val="00AC34A2"/>
    <w:rsid w:val="00AD1C9A"/>
    <w:rsid w:val="00AD4B17"/>
    <w:rsid w:val="00AF0317"/>
    <w:rsid w:val="00B412D4"/>
    <w:rsid w:val="00B64FFF"/>
    <w:rsid w:val="00BE3C22"/>
    <w:rsid w:val="00C0345E"/>
    <w:rsid w:val="00C21ABE"/>
    <w:rsid w:val="00C31C95"/>
    <w:rsid w:val="00C3483A"/>
    <w:rsid w:val="00C74E9D"/>
    <w:rsid w:val="00C826DD"/>
    <w:rsid w:val="00C82FD3"/>
    <w:rsid w:val="00C92819"/>
    <w:rsid w:val="00CC6B7B"/>
    <w:rsid w:val="00CD2089"/>
    <w:rsid w:val="00D2119E"/>
    <w:rsid w:val="00D24D5B"/>
    <w:rsid w:val="00D33204"/>
    <w:rsid w:val="00D73A67"/>
    <w:rsid w:val="00D970A9"/>
    <w:rsid w:val="00DF3845"/>
    <w:rsid w:val="00E37905"/>
    <w:rsid w:val="00E41911"/>
    <w:rsid w:val="00E44B57"/>
    <w:rsid w:val="00E92EEF"/>
    <w:rsid w:val="00EF2368"/>
    <w:rsid w:val="00F24442"/>
    <w:rsid w:val="00F50AE3"/>
    <w:rsid w:val="00F655B7"/>
    <w:rsid w:val="00F656BA"/>
    <w:rsid w:val="00F674B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B7363-8406-4295-B430-019CFE17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2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EA275-DB80-4452-ABA9-4F193D8D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335</Words>
  <Characters>1763</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2021-2022 Bill 3247: Subject not yet available - South Carolina Legislature Online</vt:lpstr>
    </vt:vector>
  </TitlesOfParts>
  <Company>LPITS</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3247 Text of Previous Version (May 10, 2022) - South Carolina Legislature Online</dc:title>
  <dc:creator>Niki Downey</dc:creator>
  <cp:lastModifiedBy>David Brunson</cp:lastModifiedBy>
  <cp:revision>2</cp:revision>
  <cp:lastPrinted>2022-02-10T21:02:00Z</cp:lastPrinted>
  <dcterms:created xsi:type="dcterms:W3CDTF">2022-05-10T23:08:00Z</dcterms:created>
  <dcterms:modified xsi:type="dcterms:W3CDTF">2022-05-10T23:08:00Z</dcterms:modified>
</cp:coreProperties>
</file>