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E88" w:rsidRDefault="005C6E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0A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5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3A4397">
        <w:rPr>
          <w:color w:val="000000" w:themeColor="text1"/>
          <w:u w:color="000000" w:themeColor="text1"/>
        </w:rPr>
        <w:t>MEND THE CODE OF LAWS OF SOUTH CAROLINA, 1976, BY ADDING ARTICLE 2</w:t>
      </w:r>
      <w:r w:rsidR="00B427C4">
        <w:rPr>
          <w:color w:val="000000" w:themeColor="text1"/>
          <w:u w:color="000000" w:themeColor="text1"/>
        </w:rPr>
        <w:t>2</w:t>
      </w:r>
      <w:r w:rsidRPr="003A4397">
        <w:rPr>
          <w:color w:val="000000" w:themeColor="text1"/>
          <w:u w:color="000000" w:themeColor="text1"/>
        </w:rPr>
        <w:t xml:space="preserve">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00EA370A">
        <w:rPr>
          <w:color w:val="000000" w:themeColor="text1"/>
          <w:u w:color="000000" w:themeColor="text1"/>
        </w:rPr>
        <w:noBreakHyphen/>
      </w:r>
      <w:r w:rsidRPr="003A4397">
        <w:rPr>
          <w:color w:val="000000" w:themeColor="text1"/>
          <w:u w:color="000000" w:themeColor="text1"/>
        </w:rPr>
        <w:t>11</w:t>
      </w:r>
      <w:r w:rsidR="00EA370A">
        <w:rPr>
          <w:color w:val="000000" w:themeColor="text1"/>
          <w:u w:color="000000" w:themeColor="text1"/>
        </w:rPr>
        <w:noBreakHyphen/>
      </w:r>
      <w:r w:rsidRPr="003A4397">
        <w:rPr>
          <w:color w:val="000000" w:themeColor="text1"/>
          <w:u w:color="000000" w:themeColor="text1"/>
        </w:rPr>
        <w:t>510 AND 16</w:t>
      </w:r>
      <w:r w:rsidR="00EA370A">
        <w:rPr>
          <w:color w:val="000000" w:themeColor="text1"/>
          <w:u w:color="000000" w:themeColor="text1"/>
        </w:rPr>
        <w:noBreakHyphen/>
      </w:r>
      <w:r w:rsidRPr="003A4397">
        <w:rPr>
          <w:color w:val="000000" w:themeColor="text1"/>
          <w:u w:color="000000" w:themeColor="text1"/>
        </w:rPr>
        <w:t>11</w:t>
      </w:r>
      <w:r w:rsidR="00EA370A">
        <w:rPr>
          <w:color w:val="000000" w:themeColor="text1"/>
          <w:u w:color="000000" w:themeColor="text1"/>
        </w:rPr>
        <w:noBreakHyphen/>
      </w:r>
      <w:r w:rsidRPr="003A4397">
        <w:rPr>
          <w:color w:val="000000" w:themeColor="text1"/>
          <w:u w:color="000000" w:themeColor="text1"/>
        </w:rPr>
        <w:t>520,</w:t>
      </w:r>
      <w:r>
        <w:rPr>
          <w:color w:val="000000" w:themeColor="text1"/>
          <w:u w:color="000000" w:themeColor="text1"/>
        </w:rPr>
        <w:t xml:space="preserve"> BOTH </w:t>
      </w:r>
      <w:r w:rsidRPr="003A4397">
        <w:rPr>
          <w:color w:val="000000" w:themeColor="text1"/>
          <w:u w:color="000000" w:themeColor="text1"/>
        </w:rPr>
        <w:t>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0AC4" w:rsidRDefault="00060A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0AC4" w:rsidRDefault="00060A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1.</w:t>
      </w:r>
      <w:r w:rsidRPr="003A4397">
        <w:rPr>
          <w:color w:val="000000" w:themeColor="text1"/>
          <w:u w:color="000000" w:themeColor="text1"/>
        </w:rPr>
        <w:tab/>
        <w:t>Chapter 3, Title 16 of the 1976 Code is amended by adding:</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A4397">
        <w:rPr>
          <w:color w:val="000000" w:themeColor="text1"/>
          <w:u w:color="000000" w:themeColor="text1"/>
        </w:rPr>
        <w:t>Article 2</w:t>
      </w:r>
      <w:r w:rsidR="00EA370A">
        <w:rPr>
          <w:color w:val="000000" w:themeColor="text1"/>
          <w:u w:color="000000" w:themeColor="text1"/>
        </w:rPr>
        <w:t>2</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4397">
        <w:rPr>
          <w:color w:val="000000" w:themeColor="text1"/>
          <w:u w:color="000000" w:themeColor="text1"/>
        </w:rPr>
        <w:t>Hate Crimes</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Pr>
          <w:color w:val="000000" w:themeColor="text1"/>
          <w:u w:color="000000" w:themeColor="text1"/>
        </w:rPr>
        <w:t>2</w:t>
      </w:r>
      <w:r w:rsidR="00B427C4">
        <w:rPr>
          <w:color w:val="000000" w:themeColor="text1"/>
          <w:u w:color="000000" w:themeColor="text1"/>
        </w:rPr>
        <w:t>4</w:t>
      </w:r>
      <w:r>
        <w:rPr>
          <w:color w:val="000000" w:themeColor="text1"/>
          <w:u w:color="000000" w:themeColor="text1"/>
        </w:rPr>
        <w:t>10.</w:t>
      </w:r>
      <w:r w:rsidRPr="003A4397">
        <w:rPr>
          <w:color w:val="000000" w:themeColor="text1"/>
          <w:u w:color="000000" w:themeColor="text1"/>
        </w:rP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w:t>
      </w:r>
      <w:r w:rsidRPr="003A4397">
        <w:rPr>
          <w:color w:val="000000" w:themeColor="text1"/>
          <w:u w:color="000000" w:themeColor="text1"/>
        </w:rPr>
        <w:lastRenderedPageBreak/>
        <w:t>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w:t>
      </w:r>
      <w:r w:rsidR="00EA370A">
        <w:rPr>
          <w:color w:val="000000" w:themeColor="text1"/>
          <w:u w:color="000000" w:themeColor="text1"/>
        </w:rPr>
        <w:noBreakHyphen/>
      </w:r>
      <w:r w:rsidRPr="003A4397">
        <w:rPr>
          <w:color w:val="000000" w:themeColor="text1"/>
          <w:u w:color="000000" w:themeColor="text1"/>
        </w:rPr>
        <w:t xml:space="preserve">included offense of another offense; and any sentence imposed pursuant to the provisions of this section must be served consecutively.  For purposes of this section, </w:t>
      </w:r>
      <w:r w:rsidR="00EA370A" w:rsidRPr="00EA370A">
        <w:rPr>
          <w:color w:val="000000" w:themeColor="text1"/>
          <w:u w:color="000000" w:themeColor="text1"/>
        </w:rPr>
        <w:t>‘</w:t>
      </w:r>
      <w:r w:rsidRPr="003A4397">
        <w:rPr>
          <w:color w:val="000000" w:themeColor="text1"/>
          <w:u w:color="000000" w:themeColor="text1"/>
        </w:rPr>
        <w:t>sexual orientation</w:t>
      </w:r>
      <w:r w:rsidR="00EA370A" w:rsidRPr="00EA370A">
        <w:rPr>
          <w:color w:val="000000" w:themeColor="text1"/>
          <w:u w:color="000000" w:themeColor="text1"/>
        </w:rPr>
        <w:t>’</w:t>
      </w:r>
      <w:r w:rsidRPr="003A4397">
        <w:rPr>
          <w:color w:val="000000" w:themeColor="text1"/>
          <w:u w:color="000000" w:themeColor="text1"/>
        </w:rPr>
        <w:t xml:space="preserve"> means a person</w:t>
      </w:r>
      <w:r w:rsidR="00EA370A" w:rsidRPr="00EA370A">
        <w:rPr>
          <w:color w:val="000000" w:themeColor="text1"/>
          <w:u w:color="000000" w:themeColor="text1"/>
        </w:rPr>
        <w:t>’</w:t>
      </w:r>
      <w:r w:rsidRPr="003A4397">
        <w:rPr>
          <w:color w:val="000000" w:themeColor="text1"/>
          <w:u w:color="000000" w:themeColor="text1"/>
        </w:rPr>
        <w:t xml:space="preserve">s actual or perceived heterosexuality, bisexuality, homosexuality, or gender identity or expression.” </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2.</w:t>
      </w:r>
      <w:r w:rsidRPr="003A4397">
        <w:rPr>
          <w:color w:val="000000" w:themeColor="text1"/>
          <w:u w:color="000000" w:themeColor="text1"/>
        </w:rPr>
        <w:tab/>
        <w:t>Section 16</w:t>
      </w:r>
      <w:r w:rsidR="00EA370A">
        <w:rPr>
          <w:color w:val="000000" w:themeColor="text1"/>
          <w:u w:color="000000" w:themeColor="text1"/>
        </w:rPr>
        <w:noBreakHyphen/>
      </w:r>
      <w:r w:rsidRPr="003A4397">
        <w:rPr>
          <w:color w:val="000000" w:themeColor="text1"/>
          <w:u w:color="000000" w:themeColor="text1"/>
        </w:rPr>
        <w:t>11</w:t>
      </w:r>
      <w:r w:rsidR="00EA370A">
        <w:rPr>
          <w:color w:val="000000" w:themeColor="text1"/>
          <w:u w:color="000000" w:themeColor="text1"/>
        </w:rPr>
        <w:noBreakHyphen/>
      </w:r>
      <w:r w:rsidRPr="003A4397">
        <w:rPr>
          <w:color w:val="000000" w:themeColor="text1"/>
          <w:u w:color="000000" w:themeColor="text1"/>
        </w:rPr>
        <w:t>510 of the 1976 Code</w:t>
      </w:r>
      <w:r>
        <w:rPr>
          <w:color w:val="000000" w:themeColor="text1"/>
          <w:u w:color="000000" w:themeColor="text1"/>
        </w:rPr>
        <w:t xml:space="preserve"> </w:t>
      </w:r>
      <w:r w:rsidRPr="003A4397">
        <w:rPr>
          <w:color w:val="000000" w:themeColor="text1"/>
          <w:u w:color="000000" w:themeColor="text1"/>
        </w:rPr>
        <w:t>is amended to read:</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00EA370A">
        <w:rPr>
          <w:color w:val="000000" w:themeColor="text1"/>
          <w:u w:color="000000" w:themeColor="text1"/>
        </w:rPr>
        <w:noBreakHyphen/>
      </w:r>
      <w:r w:rsidRPr="003A4397">
        <w:rPr>
          <w:color w:val="000000" w:themeColor="text1"/>
          <w:u w:color="000000" w:themeColor="text1"/>
        </w:rPr>
        <w:t>11</w:t>
      </w:r>
      <w:r w:rsidR="00EA370A">
        <w:rPr>
          <w:color w:val="000000" w:themeColor="text1"/>
          <w:u w:color="000000" w:themeColor="text1"/>
        </w:rPr>
        <w:noBreakHyphen/>
      </w:r>
      <w:r w:rsidRPr="003A4397">
        <w:rPr>
          <w:color w:val="000000" w:themeColor="text1"/>
          <w:u w:color="000000" w:themeColor="text1"/>
        </w:rPr>
        <w:t>510.</w:t>
      </w:r>
      <w:r w:rsidRPr="003A4397">
        <w:rPr>
          <w:color w:val="000000" w:themeColor="text1"/>
          <w:u w:color="000000" w:themeColor="text1"/>
        </w:rPr>
        <w:tab/>
        <w:t>(A)</w:t>
      </w:r>
      <w:r w:rsidRPr="003A4397">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(B)</w:t>
      </w:r>
      <w:r w:rsidRPr="003A4397">
        <w:rPr>
          <w:color w:val="000000" w:themeColor="text1"/>
          <w:u w:color="000000" w:themeColor="text1"/>
        </w:rPr>
        <w:tab/>
        <w:t>A person who violates the provisions of this section is guilty of a:</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(1)</w:t>
      </w:r>
      <w:r w:rsidRPr="003A4397">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(2)</w:t>
      </w:r>
      <w:r w:rsidRPr="003A4397">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(3)</w:t>
      </w:r>
      <w:r w:rsidRPr="003A4397">
        <w:rPr>
          <w:color w:val="000000" w:themeColor="text1"/>
          <w:u w:color="000000" w:themeColor="text1"/>
        </w:rPr>
        <w:tab/>
        <w:t>misdemeanor triable in magistrates court or municipal court, notwithstanding the provisions of Sections 22</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sidRPr="003A4397">
        <w:rPr>
          <w:color w:val="000000" w:themeColor="text1"/>
          <w:u w:color="000000" w:themeColor="text1"/>
        </w:rPr>
        <w:t>540, 22</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sidRPr="003A4397">
        <w:rPr>
          <w:color w:val="000000" w:themeColor="text1"/>
          <w:u w:color="000000" w:themeColor="text1"/>
        </w:rPr>
        <w:t>545, 22</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sidRPr="003A4397">
        <w:rPr>
          <w:color w:val="000000" w:themeColor="text1"/>
          <w:u w:color="000000" w:themeColor="text1"/>
        </w:rPr>
        <w:t>550, and 14</w:t>
      </w:r>
      <w:r w:rsidR="00EA370A">
        <w:rPr>
          <w:color w:val="000000" w:themeColor="text1"/>
          <w:u w:color="000000" w:themeColor="text1"/>
        </w:rPr>
        <w:noBreakHyphen/>
      </w:r>
      <w:r w:rsidRPr="003A4397">
        <w:rPr>
          <w:color w:val="000000" w:themeColor="text1"/>
          <w:u w:color="000000" w:themeColor="text1"/>
        </w:rPr>
        <w:t>25</w:t>
      </w:r>
      <w:r w:rsidR="00EA370A">
        <w:rPr>
          <w:color w:val="000000" w:themeColor="text1"/>
          <w:u w:color="000000" w:themeColor="text1"/>
        </w:rPr>
        <w:noBreakHyphen/>
      </w:r>
      <w:r w:rsidRPr="003A4397">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val="single" w:color="000000" w:themeColor="text1"/>
        </w:rPr>
        <w:t>(C)</w:t>
      </w:r>
      <w:r w:rsidRPr="003A4397">
        <w:rPr>
          <w:color w:val="000000" w:themeColor="text1"/>
          <w:u w:color="000000" w:themeColor="text1"/>
        </w:rPr>
        <w:tab/>
      </w:r>
      <w:r w:rsidRPr="003A4397">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w:t>
      </w:r>
      <w:r w:rsidRPr="003A4397">
        <w:rPr>
          <w:color w:val="000000" w:themeColor="text1"/>
          <w:u w:val="single" w:color="000000" w:themeColor="text1"/>
        </w:rPr>
        <w:lastRenderedPageBreak/>
        <w:t xml:space="preserve">suspended.  For purposes of this section, </w:t>
      </w:r>
      <w:r w:rsidR="00EA370A" w:rsidRPr="00EA370A">
        <w:rPr>
          <w:color w:val="000000" w:themeColor="text1"/>
          <w:u w:val="single" w:color="000000" w:themeColor="text1"/>
        </w:rPr>
        <w:t>‘</w:t>
      </w:r>
      <w:r w:rsidRPr="003A4397">
        <w:rPr>
          <w:color w:val="000000" w:themeColor="text1"/>
          <w:u w:val="single" w:color="000000" w:themeColor="text1"/>
        </w:rPr>
        <w:t>sexual orientation</w:t>
      </w:r>
      <w:r w:rsidR="00EA370A" w:rsidRPr="00EA370A">
        <w:rPr>
          <w:color w:val="000000" w:themeColor="text1"/>
          <w:u w:val="single" w:color="000000" w:themeColor="text1"/>
        </w:rPr>
        <w:t>’</w:t>
      </w:r>
      <w:r w:rsidRPr="003A4397">
        <w:rPr>
          <w:color w:val="000000" w:themeColor="text1"/>
          <w:u w:val="single" w:color="000000" w:themeColor="text1"/>
        </w:rPr>
        <w:t xml:space="preserve"> means a person</w:t>
      </w:r>
      <w:r w:rsidR="00EA370A" w:rsidRPr="00EA370A">
        <w:rPr>
          <w:color w:val="000000" w:themeColor="text1"/>
          <w:u w:val="single" w:color="000000" w:themeColor="text1"/>
        </w:rPr>
        <w:t>’</w:t>
      </w:r>
      <w:r w:rsidRPr="003A4397">
        <w:rPr>
          <w:color w:val="000000" w:themeColor="text1"/>
          <w:u w:val="single" w:color="000000" w:themeColor="text1"/>
        </w:rPr>
        <w:t>s actual or perceived heterosexuality, bisexuality, homosexuality, or gender identity or expression.</w:t>
      </w:r>
      <w:r w:rsidRPr="003A4397">
        <w:rPr>
          <w:color w:val="000000" w:themeColor="text1"/>
          <w:u w:color="000000" w:themeColor="text1"/>
        </w:rPr>
        <w:t>”</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3.</w:t>
      </w:r>
      <w:r w:rsidRPr="003A4397">
        <w:rPr>
          <w:color w:val="000000" w:themeColor="text1"/>
          <w:u w:color="000000" w:themeColor="text1"/>
        </w:rPr>
        <w:tab/>
        <w:t>Section 16</w:t>
      </w:r>
      <w:r w:rsidR="00EA370A">
        <w:rPr>
          <w:color w:val="000000" w:themeColor="text1"/>
          <w:u w:color="000000" w:themeColor="text1"/>
        </w:rPr>
        <w:noBreakHyphen/>
      </w:r>
      <w:r w:rsidRPr="003A4397">
        <w:rPr>
          <w:color w:val="000000" w:themeColor="text1"/>
          <w:u w:color="000000" w:themeColor="text1"/>
        </w:rPr>
        <w:t>11</w:t>
      </w:r>
      <w:r w:rsidR="00EA370A">
        <w:rPr>
          <w:color w:val="000000" w:themeColor="text1"/>
          <w:u w:color="000000" w:themeColor="text1"/>
        </w:rPr>
        <w:noBreakHyphen/>
      </w:r>
      <w:r w:rsidRPr="003A4397">
        <w:rPr>
          <w:color w:val="000000" w:themeColor="text1"/>
          <w:u w:color="000000" w:themeColor="text1"/>
        </w:rPr>
        <w:t>520 of the 1976 Code</w:t>
      </w:r>
      <w:r>
        <w:rPr>
          <w:color w:val="000000" w:themeColor="text1"/>
          <w:u w:color="000000" w:themeColor="text1"/>
        </w:rPr>
        <w:t xml:space="preserve"> </w:t>
      </w:r>
      <w:r w:rsidRPr="003A4397">
        <w:rPr>
          <w:color w:val="000000" w:themeColor="text1"/>
          <w:u w:color="000000" w:themeColor="text1"/>
        </w:rPr>
        <w:t>is amended to read:</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00EA370A">
        <w:rPr>
          <w:color w:val="000000" w:themeColor="text1"/>
          <w:u w:color="000000" w:themeColor="text1"/>
        </w:rPr>
        <w:noBreakHyphen/>
      </w:r>
      <w:r w:rsidRPr="003A4397">
        <w:rPr>
          <w:color w:val="000000" w:themeColor="text1"/>
          <w:u w:color="000000" w:themeColor="text1"/>
        </w:rPr>
        <w:t>11</w:t>
      </w:r>
      <w:r w:rsidR="00EA370A">
        <w:rPr>
          <w:color w:val="000000" w:themeColor="text1"/>
          <w:u w:color="000000" w:themeColor="text1"/>
        </w:rPr>
        <w:noBreakHyphen/>
      </w:r>
      <w:r w:rsidRPr="003A4397">
        <w:rPr>
          <w:color w:val="000000" w:themeColor="text1"/>
          <w:u w:color="000000" w:themeColor="text1"/>
        </w:rPr>
        <w:t>520.</w:t>
      </w:r>
      <w:r w:rsidRPr="003A4397">
        <w:rPr>
          <w:color w:val="000000" w:themeColor="text1"/>
          <w:u w:color="000000" w:themeColor="text1"/>
        </w:rPr>
        <w:tab/>
        <w:t>(A)</w:t>
      </w:r>
      <w:r>
        <w:rPr>
          <w:color w:val="000000" w:themeColor="text1"/>
          <w:u w:color="000000" w:themeColor="text1"/>
        </w:rPr>
        <w:tab/>
      </w:r>
      <w:r w:rsidRPr="003A4397">
        <w:rPr>
          <w:color w:val="000000" w:themeColor="text1"/>
          <w:u w:color="000000" w:themeColor="text1"/>
        </w:rPr>
        <w:t xml:space="preserve">It is unlawful for a person to wilfully and maliciously cut, mutilate, deface, or otherwise injure a tree, house, outside fence, or fixture of another or commit </w:t>
      </w:r>
      <w:r w:rsidRPr="003A4397">
        <w:rPr>
          <w:strike/>
          <w:color w:val="000000" w:themeColor="text1"/>
          <w:u w:color="000000" w:themeColor="text1"/>
        </w:rPr>
        <w:t>any other</w:t>
      </w:r>
      <w:r w:rsidRPr="003A4397">
        <w:rPr>
          <w:color w:val="000000" w:themeColor="text1"/>
          <w:u w:color="000000" w:themeColor="text1"/>
        </w:rPr>
        <w:t xml:space="preserve"> </w:t>
      </w:r>
      <w:r w:rsidRPr="003A4397">
        <w:rPr>
          <w:color w:val="000000" w:themeColor="text1"/>
          <w:u w:val="single" w:color="000000" w:themeColor="text1"/>
        </w:rPr>
        <w:t>another</w:t>
      </w:r>
      <w:r w:rsidRPr="003A4397">
        <w:rPr>
          <w:color w:val="000000" w:themeColor="text1"/>
          <w:u w:color="000000" w:themeColor="text1"/>
        </w:rPr>
        <w:t xml:space="preserve"> trespass upon real property of another </w:t>
      </w:r>
      <w:r w:rsidRPr="003A4397">
        <w:rPr>
          <w:color w:val="000000" w:themeColor="text1"/>
          <w:u w:val="single" w:color="000000" w:themeColor="text1"/>
        </w:rPr>
        <w:t>person</w:t>
      </w:r>
      <w:r w:rsidRPr="003A4397">
        <w:rPr>
          <w:color w:val="000000" w:themeColor="text1"/>
          <w:u w:color="000000" w:themeColor="text1"/>
        </w:rPr>
        <w:t>.</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(B)</w:t>
      </w:r>
      <w:r w:rsidRPr="003A4397">
        <w:rPr>
          <w:color w:val="000000" w:themeColor="text1"/>
          <w:u w:color="000000" w:themeColor="text1"/>
        </w:rPr>
        <w:tab/>
        <w:t>A person who violates the provisions of this section is guilty of a:</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(1)</w:t>
      </w:r>
      <w:r w:rsidRPr="003A4397">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(2)</w:t>
      </w:r>
      <w:r w:rsidRPr="003A4397">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(3)</w:t>
      </w:r>
      <w:r w:rsidRPr="003A4397">
        <w:rPr>
          <w:color w:val="000000" w:themeColor="text1"/>
          <w:u w:color="000000" w:themeColor="text1"/>
        </w:rPr>
        <w:tab/>
        <w:t>misdemeanor triable in magistrates court or municipal court, notwithstanding the provisions of Sections 22</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sidRPr="003A4397">
        <w:rPr>
          <w:color w:val="000000" w:themeColor="text1"/>
          <w:u w:color="000000" w:themeColor="text1"/>
        </w:rPr>
        <w:t>540, 22</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sidRPr="003A4397">
        <w:rPr>
          <w:color w:val="000000" w:themeColor="text1"/>
          <w:u w:color="000000" w:themeColor="text1"/>
        </w:rPr>
        <w:t>545, 22</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sidRPr="003A4397">
        <w:rPr>
          <w:color w:val="000000" w:themeColor="text1"/>
          <w:u w:color="000000" w:themeColor="text1"/>
        </w:rPr>
        <w:t>550, and 14</w:t>
      </w:r>
      <w:r w:rsidR="00EA370A">
        <w:rPr>
          <w:color w:val="000000" w:themeColor="text1"/>
          <w:u w:color="000000" w:themeColor="text1"/>
        </w:rPr>
        <w:noBreakHyphen/>
      </w:r>
      <w:r w:rsidRPr="003A4397">
        <w:rPr>
          <w:color w:val="000000" w:themeColor="text1"/>
          <w:u w:color="000000" w:themeColor="text1"/>
        </w:rPr>
        <w:t>25</w:t>
      </w:r>
      <w:r w:rsidR="00EA370A">
        <w:rPr>
          <w:color w:val="000000" w:themeColor="text1"/>
          <w:u w:color="000000" w:themeColor="text1"/>
        </w:rPr>
        <w:noBreakHyphen/>
      </w:r>
      <w:r w:rsidRPr="003A4397">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4397">
        <w:rPr>
          <w:color w:val="000000" w:themeColor="text1"/>
          <w:u w:color="000000" w:themeColor="text1"/>
        </w:rPr>
        <w:tab/>
      </w:r>
      <w:r w:rsidRPr="003A4397">
        <w:rPr>
          <w:color w:val="000000" w:themeColor="text1"/>
          <w:u w:val="single" w:color="000000" w:themeColor="text1"/>
        </w:rPr>
        <w:t>(C)</w:t>
      </w:r>
      <w:r w:rsidRPr="003A4397">
        <w:rPr>
          <w:color w:val="000000" w:themeColor="text1"/>
          <w:u w:color="000000" w:themeColor="text1"/>
        </w:rPr>
        <w:tab/>
      </w:r>
      <w:r w:rsidRPr="003A4397">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00EA370A" w:rsidRPr="00EA370A">
        <w:rPr>
          <w:color w:val="000000" w:themeColor="text1"/>
          <w:u w:val="single" w:color="000000" w:themeColor="text1"/>
        </w:rPr>
        <w:t>‘</w:t>
      </w:r>
      <w:r w:rsidRPr="003A4397">
        <w:rPr>
          <w:color w:val="000000" w:themeColor="text1"/>
          <w:u w:val="single" w:color="000000" w:themeColor="text1"/>
        </w:rPr>
        <w:t>sexual orientation</w:t>
      </w:r>
      <w:r w:rsidR="00EA370A" w:rsidRPr="00EA370A">
        <w:rPr>
          <w:color w:val="000000" w:themeColor="text1"/>
          <w:u w:val="single" w:color="000000" w:themeColor="text1"/>
        </w:rPr>
        <w:t>’</w:t>
      </w:r>
      <w:r w:rsidRPr="003A4397">
        <w:rPr>
          <w:color w:val="000000" w:themeColor="text1"/>
          <w:u w:val="single" w:color="000000" w:themeColor="text1"/>
        </w:rPr>
        <w:t xml:space="preserve"> means a person</w:t>
      </w:r>
      <w:r w:rsidR="00EA370A" w:rsidRPr="00EA370A">
        <w:rPr>
          <w:color w:val="000000" w:themeColor="text1"/>
          <w:u w:val="single" w:color="000000" w:themeColor="text1"/>
        </w:rPr>
        <w:t>’</w:t>
      </w:r>
      <w:r w:rsidRPr="003A4397">
        <w:rPr>
          <w:color w:val="000000" w:themeColor="text1"/>
          <w:u w:val="single" w:color="000000" w:themeColor="text1"/>
        </w:rPr>
        <w:t>s actual or perceived heterosexuality, bisexuality, homosexuality, or gender identity or expression.</w:t>
      </w:r>
      <w:r w:rsidRPr="003A4397">
        <w:rPr>
          <w:color w:val="000000" w:themeColor="text1"/>
          <w:u w:color="000000" w:themeColor="text1"/>
        </w:rPr>
        <w:t>”</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4.</w:t>
      </w:r>
      <w:r w:rsidRPr="003A439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3A4397">
        <w:rPr>
          <w:color w:val="000000" w:themeColor="text1"/>
          <w:u w:color="000000" w:themeColor="text1"/>
        </w:rP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5BCD"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AC4"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408DF" w:rsidRDefault="00EA37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6E88" w:rsidRDefault="005C6E88" w:rsidP="005C6E88">
      <w:pPr>
        <w:suppressAutoHyphens/>
      </w:pPr>
    </w:p>
    <w:sectPr w:rsidR="005C6E88" w:rsidSect="005C6E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AC4" w:rsidRDefault="00060AC4" w:rsidP="009F0C77">
      <w:r>
        <w:separator/>
      </w:r>
    </w:p>
  </w:endnote>
  <w:endnote w:type="continuationSeparator" w:id="0">
    <w:p w:rsidR="00060AC4" w:rsidRDefault="00060A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0F9A71-716A-420E-8540-C733F49F21DA}"/>
    <w:embedBold r:id="rId2" w:fontKey="{D73C6BB0-2F61-40CC-8506-73A83FE8FF0C}"/>
  </w:font>
  <w:font w:name="Calibri">
    <w:panose1 w:val="020F0502020204030204"/>
    <w:charset w:val="00"/>
    <w:family w:val="swiss"/>
    <w:pitch w:val="variable"/>
    <w:sig w:usb0="E4002EFF" w:usb1="C000247B" w:usb2="00000009" w:usb3="00000000" w:csb0="000001FF" w:csb1="00000000"/>
    <w:embedRegular r:id="rId3" w:fontKey="{2B366A99-6407-4AAE-B085-5F233C8916CA}"/>
  </w:font>
  <w:font w:name="Cambria">
    <w:panose1 w:val="02040503050406030204"/>
    <w:charset w:val="00"/>
    <w:family w:val="roman"/>
    <w:pitch w:val="variable"/>
    <w:sig w:usb0="E00006FF" w:usb1="420024FF" w:usb2="02000000" w:usb3="00000000" w:csb0="0000019F" w:csb1="00000000"/>
    <w:embedRegular r:id="rId4" w:fontKey="{4CBE2752-9C1B-4793-92B2-99C3485CEB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8DF" w:rsidRPr="005C6E88" w:rsidRDefault="005C6E88" w:rsidP="005C6E88">
    <w:pPr>
      <w:pStyle w:val="Footer"/>
      <w:tabs>
        <w:tab w:val="clear" w:pos="4680"/>
        <w:tab w:val="clear" w:pos="9360"/>
        <w:tab w:val="center" w:pos="2995"/>
      </w:tabs>
      <w:spacing w:before="120"/>
    </w:pPr>
    <w:r>
      <w:t>[3283]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AC4" w:rsidRDefault="00060AC4" w:rsidP="009F0C77">
      <w:r>
        <w:separator/>
      </w:r>
    </w:p>
  </w:footnote>
  <w:footnote w:type="continuationSeparator" w:id="0">
    <w:p w:rsidR="00060AC4" w:rsidRDefault="00060A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1AHB21"/>
    <w:docVar w:name="CoverBillType" w:val="b"/>
    <w:docVar w:name="DocPath" w:val="L:\Council\bills\NBD\11031AHB21.DOCX"/>
    <w:docVar w:name="dvBillNumber" w:val="3283"/>
    <w:docVar w:name="dvBillNumberPrefix" w:val="H. "/>
    <w:docVar w:name="dvOriginalBody" w:val="House"/>
    <w:docVar w:name="dvSteno" w:val="NBD"/>
    <w:docVar w:name="NameofBody" w:val="h"/>
    <w:docVar w:name="vGroup2" w:val="Council"/>
  </w:docVars>
  <w:rsids>
    <w:rsidRoot w:val="00060AC4"/>
    <w:rsid w:val="00011869"/>
    <w:rsid w:val="00015CD6"/>
    <w:rsid w:val="00060AC4"/>
    <w:rsid w:val="000E0100"/>
    <w:rsid w:val="000E1785"/>
    <w:rsid w:val="000F40FA"/>
    <w:rsid w:val="001035F1"/>
    <w:rsid w:val="0010776B"/>
    <w:rsid w:val="00133E66"/>
    <w:rsid w:val="001435A3"/>
    <w:rsid w:val="00146ED3"/>
    <w:rsid w:val="00151044"/>
    <w:rsid w:val="00165BC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1A6"/>
    <w:rsid w:val="004403BD"/>
    <w:rsid w:val="00461441"/>
    <w:rsid w:val="004809EE"/>
    <w:rsid w:val="004E7D54"/>
    <w:rsid w:val="005273C6"/>
    <w:rsid w:val="00530A69"/>
    <w:rsid w:val="00545593"/>
    <w:rsid w:val="00556EBF"/>
    <w:rsid w:val="00577C6C"/>
    <w:rsid w:val="005A62FE"/>
    <w:rsid w:val="005C2FE2"/>
    <w:rsid w:val="005C6E88"/>
    <w:rsid w:val="005E2BC9"/>
    <w:rsid w:val="00605102"/>
    <w:rsid w:val="006215AA"/>
    <w:rsid w:val="006913C9"/>
    <w:rsid w:val="0069470D"/>
    <w:rsid w:val="006D58AA"/>
    <w:rsid w:val="00734F00"/>
    <w:rsid w:val="00736959"/>
    <w:rsid w:val="007A70AE"/>
    <w:rsid w:val="008362E8"/>
    <w:rsid w:val="0085786E"/>
    <w:rsid w:val="008A1768"/>
    <w:rsid w:val="008A489F"/>
    <w:rsid w:val="008F0AC7"/>
    <w:rsid w:val="008F0F33"/>
    <w:rsid w:val="008F4429"/>
    <w:rsid w:val="0094021A"/>
    <w:rsid w:val="009B44AF"/>
    <w:rsid w:val="009C08A2"/>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7C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370A"/>
    <w:rsid w:val="00EF2368"/>
    <w:rsid w:val="00F24442"/>
    <w:rsid w:val="00F408D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C650ED-95A1-4F30-A23A-DF4545FE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39C4D-635A-4158-B043-2947C5B54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1113</Words>
  <Characters>5609</Characters>
  <Application>Microsoft Office Word</Application>
  <DocSecurity>0</DocSecurity>
  <Lines>140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3283 Text of Previous Version (Dec. 9, 2020) - South Carolina Legislature Online</dc:title>
  <dc:creator>Niki Downey</dc:creator>
  <cp:lastModifiedBy>Sade Wilson</cp:lastModifiedBy>
  <cp:revision>2</cp:revision>
  <cp:lastPrinted>2020-11-18T16:10:00Z</cp:lastPrinted>
  <dcterms:created xsi:type="dcterms:W3CDTF">2020-12-11T23:42:00Z</dcterms:created>
  <dcterms:modified xsi:type="dcterms:W3CDTF">2020-12-11T23:42:00Z</dcterms:modified>
</cp:coreProperties>
</file>