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99A82" w14:textId="77777777" w:rsidR="001A2D32"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7946FE"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9A548F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D7C55"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5C796B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F73C7D">
        <w:t>4</w:t>
      </w:r>
      <w:r>
        <w:t>, 2022</w:t>
      </w:r>
    </w:p>
    <w:p w14:paraId="04EE5336"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FAF8FC" w14:textId="77777777" w:rsidR="0079197D" w:rsidRPr="0079197D" w:rsidRDefault="0079197D" w:rsidP="0079197D">
      <w:pPr>
        <w:tabs>
          <w:tab w:val="right" w:pos="5933"/>
        </w:tabs>
        <w:suppressAutoHyphens/>
        <w:jc w:val="center"/>
      </w:pPr>
      <w:r>
        <w:tab/>
      </w:r>
      <w:r>
        <w:rPr>
          <w:b/>
          <w:sz w:val="36"/>
        </w:rPr>
        <w:t>H. 3291</w:t>
      </w:r>
    </w:p>
    <w:p w14:paraId="482EC87E" w14:textId="77777777" w:rsidR="0079197D" w:rsidRDefault="0079197D"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5CE67A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Chumley, Bryant, V.S. Moss, Haddon, Forrest and Ligon</w:t>
      </w:r>
    </w:p>
    <w:p w14:paraId="1A6B88B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9023E"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F73C7D">
        <w:t>4</w:t>
      </w:r>
      <w:r>
        <w:t>/22--S.</w:t>
      </w:r>
    </w:p>
    <w:p w14:paraId="1987C09E"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14:paraId="07F53ACE" w14:textId="1EDCD89C" w:rsidR="0079197D" w:rsidRPr="0079197D" w:rsidRDefault="00711FA3" w:rsidP="0071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5DD964C"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DBDAEC"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0D6A4623"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3291) to </w:t>
      </w:r>
      <w:r w:rsidRPr="0079197D">
        <w:rPr>
          <w:color w:val="000000" w:themeColor="text1"/>
          <w:u w:color="000000" w:themeColor="text1"/>
        </w:rPr>
        <w:t>amend Section 16</w:t>
      </w:r>
      <w:r w:rsidRPr="0079197D">
        <w:rPr>
          <w:color w:val="000000" w:themeColor="text1"/>
          <w:u w:color="000000" w:themeColor="text1"/>
        </w:rPr>
        <w:noBreakHyphen/>
        <w:t>11</w:t>
      </w:r>
      <w:r w:rsidRPr="0079197D">
        <w:rPr>
          <w:color w:val="000000" w:themeColor="text1"/>
          <w:u w:color="000000" w:themeColor="text1"/>
        </w:rPr>
        <w:noBreakHyphen/>
        <w:t>600, Code of Laws of South Carolina, 1976, relating to trespassing and the posting of notice of trespassing, so as to allow</w:t>
      </w:r>
      <w:r>
        <w:t>, etc., respectfully</w:t>
      </w:r>
    </w:p>
    <w:p w14:paraId="41115B3F"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1E65D82"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D9E2FAD"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7C576"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417EE987"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D1B995"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9654A"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4D3FB1C2"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9197D">
        <w:rPr>
          <w:b/>
          <w:bCs/>
        </w:rPr>
        <w:t>Explanation of Fiscal Impact</w:t>
      </w:r>
    </w:p>
    <w:p w14:paraId="1F932C35"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9197D">
        <w:rPr>
          <w:b/>
          <w:bCs/>
        </w:rPr>
        <w:t xml:space="preserve">Local Expenditure </w:t>
      </w:r>
    </w:p>
    <w:p w14:paraId="6C13A0BA"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97D">
        <w:tab/>
        <w:t>This bill creates a new method by which a landowner can provide sufficient posting notice to trespassers and removes the requirement that imprisonment for a conviction of unlawful trespass after notice include hard labor on the public works of the county.</w:t>
      </w:r>
    </w:p>
    <w:p w14:paraId="4809F79B"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97D">
        <w:tab/>
        <w:t xml:space="preserve">Judicial reports there were 677 trespass filings in summary courts in FY 2020-21.  This bill may increase the number of trespass filings in summary court.  RFA anticipates that any increase to the summary court docket can be managed within existing appropriations, and therefore, will have no local expenditure impact.  </w:t>
      </w:r>
    </w:p>
    <w:p w14:paraId="416CCED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836FF"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1B729826"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1643B68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197D" w:rsidSect="001A2D3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EBE593F" w14:textId="77777777" w:rsidR="00CE0FE7" w:rsidRDefault="00CE0FE7"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2978F"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D2256"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B31D5"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038422"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F0D854"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7EF67"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7F09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50D0C" w14:textId="77777777" w:rsidR="0010776B" w:rsidRPr="00325348" w:rsidRDefault="0010776B" w:rsidP="00C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7621">
        <w:rPr>
          <w:b/>
          <w:sz w:val="30"/>
          <w:szCs w:val="30"/>
        </w:rPr>
        <w:t>BILL</w:t>
      </w:r>
    </w:p>
    <w:p w14:paraId="2202508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7928C" w14:textId="77777777" w:rsidR="0010416A" w:rsidRDefault="0010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w:t>
      </w:r>
    </w:p>
    <w:p w14:paraId="621DE05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F3487DB"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D4CA804"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6518E" w14:textId="77777777" w:rsidR="0010416A"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 of the 1976 Code is amended to read:</w:t>
      </w:r>
    </w:p>
    <w:p w14:paraId="4903A5F4"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C0254AA"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w:t>
      </w:r>
      <w:r w:rsidRPr="00EA537B">
        <w:rPr>
          <w:u w:color="000000" w:themeColor="text1"/>
        </w:rPr>
        <w:tab/>
      </w:r>
      <w:r w:rsidRPr="00EA537B">
        <w:rPr>
          <w:u w:val="single"/>
        </w:rPr>
        <w:t>(A)</w:t>
      </w:r>
      <w:r w:rsidRPr="00EA537B">
        <w:tab/>
        <w:t>Every entry upon the lands of another where any horse, mule, cow, hog</w:t>
      </w:r>
      <w:r>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14:paraId="7076BB1F"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14:paraId="15F58B67"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14:paraId="07F19AB4"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Pr>
          <w:u w:val="single"/>
        </w:rPr>
        <w:noBreakHyphen/>
      </w:r>
      <w:r w:rsidRPr="00EA537B">
        <w:rPr>
          <w:u w:val="single"/>
        </w:rPr>
        <w:t xml:space="preserve">painted marking, consisting of one vertical line not less than eight inches in length and two inches in width, and the bottom of the </w:t>
      </w:r>
      <w:r w:rsidRPr="00EA537B">
        <w:rPr>
          <w:u w:val="single"/>
        </w:rPr>
        <w:lastRenderedPageBreak/>
        <w:t>mark not less than three nor more than six feet from the ground or normal water surface. These marks must be affixed to immovable, permanent objects that are not more than one hundred yards apart and readily visible to any person approaching the property.</w:t>
      </w:r>
    </w:p>
    <w:p w14:paraId="5AC8AC47"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14:paraId="5F86052B"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81399C"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16A">
        <w:t>2</w:t>
      </w:r>
      <w:r>
        <w:t>.</w:t>
      </w:r>
      <w:r>
        <w:tab/>
        <w:t>This act takes effect upon approval by the Governor.</w:t>
      </w:r>
    </w:p>
    <w:p w14:paraId="7F8BDA3A" w14:textId="77777777" w:rsidR="00191ECE" w:rsidRDefault="001041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986FA9C" w14:textId="77777777" w:rsidR="00731C3D" w:rsidRDefault="00731C3D" w:rsidP="00731C3D">
      <w:pPr>
        <w:suppressAutoHyphens/>
      </w:pPr>
    </w:p>
    <w:sectPr w:rsidR="00731C3D" w:rsidSect="001A2D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5EEA" w14:textId="77777777" w:rsidR="008D7621" w:rsidRDefault="008D7621" w:rsidP="009F0C77">
      <w:r>
        <w:separator/>
      </w:r>
    </w:p>
  </w:endnote>
  <w:endnote w:type="continuationSeparator" w:id="0">
    <w:p w14:paraId="47CB5F68" w14:textId="77777777" w:rsidR="008D7621" w:rsidRDefault="008D7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7FED4C-6A4F-4BC7-AC85-7FA9030043BD}"/>
    <w:embedBold r:id="rId2" w:fontKey="{8D050081-3A8F-4408-8FFA-9979007050E0}"/>
  </w:font>
  <w:font w:name="Calibri">
    <w:panose1 w:val="020F0502020204030204"/>
    <w:charset w:val="00"/>
    <w:family w:val="swiss"/>
    <w:pitch w:val="variable"/>
    <w:sig w:usb0="E0002AFF" w:usb1="4000ACFF" w:usb2="00000001" w:usb3="00000000" w:csb0="000001FF" w:csb1="00000000"/>
    <w:embedRegular r:id="rId3" w:fontKey="{E3EE2DC9-9EFB-41FF-9F1B-9F2A0A8BA94A}"/>
  </w:font>
  <w:font w:name="Cambria">
    <w:panose1 w:val="02040503050406030204"/>
    <w:charset w:val="00"/>
    <w:family w:val="roman"/>
    <w:pitch w:val="variable"/>
    <w:sig w:usb0="E00006FF" w:usb1="420024FF" w:usb2="02000000" w:usb3="00000000" w:csb0="0000019F" w:csb1="00000000"/>
    <w:embedRegular r:id="rId4" w:fontKey="{A077B403-A480-4063-923A-7080EFFD5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3EA0" w14:textId="77777777" w:rsidR="00191ECE" w:rsidRPr="00CE0FE7" w:rsidRDefault="00CE0FE7" w:rsidP="00CE0FE7">
    <w:pPr>
      <w:pStyle w:val="Footer"/>
      <w:tabs>
        <w:tab w:val="clear" w:pos="4680"/>
        <w:tab w:val="clear" w:pos="9360"/>
        <w:tab w:val="center" w:pos="2995"/>
      </w:tabs>
      <w:spacing w:before="120"/>
    </w:pPr>
    <w:r>
      <w:t>[3291</w:t>
    </w:r>
    <w:r w:rsidR="001A2D32">
      <w:t>-</w:t>
    </w:r>
    <w:r w:rsidR="001A2D32">
      <w:fldChar w:fldCharType="begin"/>
    </w:r>
    <w:r w:rsidR="001A2D32">
      <w:instrText xml:space="preserve"> PAGE  \* MERGEFORMAT </w:instrText>
    </w:r>
    <w:r w:rsidR="001A2D32">
      <w:fldChar w:fldCharType="separate"/>
    </w:r>
    <w:r w:rsidR="00F73C7D">
      <w:rPr>
        <w:noProof/>
      </w:rPr>
      <w:t>1</w:t>
    </w:r>
    <w:r w:rsidR="001A2D32">
      <w:fldChar w:fldCharType="end"/>
    </w:r>
    <w:r w:rsidR="001A2D3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EB12" w14:textId="77777777" w:rsidR="001A2D32" w:rsidRPr="00CE0FE7" w:rsidRDefault="001A2D32" w:rsidP="00CE0FE7">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sidR="00F73C7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6D8EF" w14:textId="77777777" w:rsidR="008D7621" w:rsidRDefault="008D7621" w:rsidP="009F0C77">
      <w:r>
        <w:separator/>
      </w:r>
    </w:p>
  </w:footnote>
  <w:footnote w:type="continuationSeparator" w:id="0">
    <w:p w14:paraId="0AEE74A3" w14:textId="77777777" w:rsidR="008D7621" w:rsidRDefault="008D7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302AHB21"/>
    <w:docVar w:name="CoverBillType" w:val="b"/>
    <w:docVar w:name="DocPath" w:val="L:\Council\bills\BH\7302AHB21.DOCX"/>
    <w:docVar w:name="dvBillNumber" w:val="3291"/>
    <w:docVar w:name="dvBillNumberPrefix" w:val="H. "/>
    <w:docVar w:name="dvOriginalBody" w:val="House"/>
    <w:docVar w:name="dvSteno" w:val="BH"/>
    <w:docVar w:name="NameofBody" w:val="h"/>
    <w:docVar w:name="vGroup2" w:val="Council"/>
  </w:docVars>
  <w:rsids>
    <w:rsidRoot w:val="008D7621"/>
    <w:rsid w:val="00011869"/>
    <w:rsid w:val="00015CD6"/>
    <w:rsid w:val="000E0100"/>
    <w:rsid w:val="000E1785"/>
    <w:rsid w:val="000F40FA"/>
    <w:rsid w:val="001035F1"/>
    <w:rsid w:val="0010416A"/>
    <w:rsid w:val="0010776B"/>
    <w:rsid w:val="00133E66"/>
    <w:rsid w:val="001435A3"/>
    <w:rsid w:val="00146ED3"/>
    <w:rsid w:val="00151044"/>
    <w:rsid w:val="0016586C"/>
    <w:rsid w:val="00191ECE"/>
    <w:rsid w:val="001A2D3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64C"/>
    <w:rsid w:val="0037079A"/>
    <w:rsid w:val="0037716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FA3"/>
    <w:rsid w:val="00731C3D"/>
    <w:rsid w:val="00734F00"/>
    <w:rsid w:val="00736959"/>
    <w:rsid w:val="0079197D"/>
    <w:rsid w:val="007A70AE"/>
    <w:rsid w:val="007E4EC0"/>
    <w:rsid w:val="008362E8"/>
    <w:rsid w:val="0085786E"/>
    <w:rsid w:val="008A1768"/>
    <w:rsid w:val="008A489F"/>
    <w:rsid w:val="008D76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FE7"/>
    <w:rsid w:val="00D73A67"/>
    <w:rsid w:val="00D970A9"/>
    <w:rsid w:val="00DF3845"/>
    <w:rsid w:val="00E41911"/>
    <w:rsid w:val="00E44B57"/>
    <w:rsid w:val="00E92EEF"/>
    <w:rsid w:val="00EF2368"/>
    <w:rsid w:val="00F24442"/>
    <w:rsid w:val="00F50AE3"/>
    <w:rsid w:val="00F655B7"/>
    <w:rsid w:val="00F656BA"/>
    <w:rsid w:val="00F67CF1"/>
    <w:rsid w:val="00F728AA"/>
    <w:rsid w:val="00F73C7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F588"/>
  <w15:docId w15:val="{CD908A9C-0187-45AA-8768-F82F0CAA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749B0-97D3-41B4-8086-102EEA08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2842</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3291 Text of Previous Version (May 4, 2022) - South Carolina Legislature Online</dc:title>
  <dc:creator>Bonnie Huth</dc:creator>
  <cp:lastModifiedBy>Miriam Cook</cp:lastModifiedBy>
  <cp:revision>2</cp:revision>
  <cp:lastPrinted>2022-05-05T00:25:00Z</cp:lastPrinted>
  <dcterms:created xsi:type="dcterms:W3CDTF">2022-05-05T00:27:00Z</dcterms:created>
  <dcterms:modified xsi:type="dcterms:W3CDTF">2022-05-05T00:27:00Z</dcterms:modified>
</cp:coreProperties>
</file>