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FA9" w:rsidRDefault="00512FA9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D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17</w:t>
      </w:r>
      <w:r>
        <w:noBreakHyphen/>
        <w:t>23</w:t>
      </w:r>
      <w:r>
        <w:noBreakHyphen/>
        <w:t>168 SO AS TO PROVIDE THAT A COURTESY SUMMONS MUST BE ISSUED WHEN CHARGES ARE DISMISSED OR NOL PROSSED AFTER A PRELIMINARY HEARING WHEN A DEFENDANT IS SUBSEQUENTLY INDICTED BY A LOCAL OR STATE GRAND JURY FOR THE ORIGINAL OR SUBSTANTIALLY SIMILAR CHARGE OR CHARGES.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17 of the 1976 Code is amended by adding:</w:t>
      </w: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23</w:t>
      </w:r>
      <w:r>
        <w:noBreakHyphen/>
        <w:t>168. After a preliminary hearing, if the charge or charges against a defendant are dismissed or nol prossed and the defendant is subsequently indicted by a local or state grand jury on the original or substantially similar charge or charges and an arrest warrant is sought, the court must issue a courtesy summons.”</w:t>
      </w:r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0171">
        <w:t>2</w:t>
      </w:r>
      <w:r>
        <w:t>.</w:t>
      </w:r>
      <w:r>
        <w:tab/>
        <w:t>This act takes effect upon approval by the Governor.</w:t>
      </w:r>
    </w:p>
    <w:p w:rsidR="00737041" w:rsidRDefault="00EE01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FA9" w:rsidRDefault="00512FA9" w:rsidP="00512FA9">
      <w:pPr>
        <w:suppressAutoHyphens/>
      </w:pPr>
    </w:p>
    <w:sectPr w:rsidR="00512FA9" w:rsidSect="00512F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DB4" w:rsidRDefault="00EB4DB4" w:rsidP="009F0C77">
      <w:r>
        <w:separator/>
      </w:r>
    </w:p>
  </w:endnote>
  <w:endnote w:type="continuationSeparator" w:id="0">
    <w:p w:rsidR="00EB4DB4" w:rsidRDefault="00EB4D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14A2B6-7DB6-4716-AD55-DC27006FDD09}"/>
    <w:embedBold r:id="rId2" w:fontKey="{141B988B-137F-45FE-B6E1-3FDB518136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A1D2F0-4913-417C-BF31-7B7D9A768E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DC26F4-EE4F-476B-A0C4-FFF8510145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041" w:rsidRPr="00512FA9" w:rsidRDefault="00512FA9" w:rsidP="0051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DB4" w:rsidRDefault="00EB4DB4" w:rsidP="009F0C77">
      <w:r>
        <w:separator/>
      </w:r>
    </w:p>
  </w:footnote>
  <w:footnote w:type="continuationSeparator" w:id="0">
    <w:p w:rsidR="00EB4DB4" w:rsidRDefault="00EB4D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44AHB21"/>
    <w:docVar w:name="CoverBillType" w:val="b"/>
    <w:docVar w:name="DocPath" w:val="L:\Council\bills\BH\7344AHB21.DOCX"/>
    <w:docVar w:name="dvBillNumber" w:val="329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B4D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23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FA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04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264"/>
    <w:rsid w:val="00AC34A2"/>
    <w:rsid w:val="00AD1C9A"/>
    <w:rsid w:val="00AD4B17"/>
    <w:rsid w:val="00AF6C4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4DB4"/>
    <w:rsid w:val="00EE017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992BA-5AA0-464D-ABCC-8CC3E098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69E1A-FFCA-422B-A55F-8A1415B8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740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3295 Text of Previous Version (Dec. 9, 2020) - South Carolina Legislature Online</dc:title>
  <dc:creator>Bonnie Huth</dc:creator>
  <cp:lastModifiedBy>Sade Wilson</cp:lastModifiedBy>
  <cp:revision>2</cp:revision>
  <dcterms:created xsi:type="dcterms:W3CDTF">2020-12-11T23:48:00Z</dcterms:created>
  <dcterms:modified xsi:type="dcterms:W3CDTF">2020-12-11T23:48:00Z</dcterms:modified>
</cp:coreProperties>
</file>